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A2AC0" w14:textId="77777777" w:rsidR="00A712D5" w:rsidRDefault="00A712D5" w:rsidP="00A712D5">
      <w:pPr>
        <w:pStyle w:val="a5"/>
        <w:spacing w:line="240" w:lineRule="exact"/>
        <w:jc w:val="center"/>
        <w:rPr>
          <w:rFonts w:eastAsia="方正小标宋简体" w:hAnsi="宋体"/>
          <w:bCs/>
          <w:color w:val="FF0000"/>
          <w:spacing w:val="-2"/>
          <w:w w:val="51"/>
          <w:sz w:val="144"/>
          <w:szCs w:val="144"/>
        </w:rPr>
      </w:pPr>
    </w:p>
    <w:p w14:paraId="3696C185" w14:textId="77777777" w:rsidR="00A712D5" w:rsidRDefault="00A712D5" w:rsidP="00A712D5">
      <w:pPr>
        <w:pStyle w:val="a5"/>
        <w:spacing w:line="240" w:lineRule="exact"/>
        <w:jc w:val="center"/>
        <w:rPr>
          <w:rFonts w:eastAsia="方正小标宋简体" w:hAnsi="宋体"/>
          <w:bCs/>
          <w:color w:val="FF0000"/>
          <w:spacing w:val="-2"/>
          <w:w w:val="51"/>
          <w:sz w:val="144"/>
          <w:szCs w:val="144"/>
        </w:rPr>
      </w:pPr>
    </w:p>
    <w:p w14:paraId="508AE6E1" w14:textId="77777777" w:rsidR="00A712D5" w:rsidRDefault="00A712D5" w:rsidP="00A712D5">
      <w:pPr>
        <w:pStyle w:val="a5"/>
        <w:spacing w:line="240" w:lineRule="exact"/>
        <w:jc w:val="center"/>
        <w:rPr>
          <w:rFonts w:eastAsia="方正小标宋简体" w:hAnsi="宋体"/>
          <w:bCs/>
          <w:color w:val="FF0000"/>
          <w:spacing w:val="-2"/>
          <w:w w:val="51"/>
          <w:sz w:val="144"/>
          <w:szCs w:val="144"/>
        </w:rPr>
      </w:pPr>
    </w:p>
    <w:p w14:paraId="7BC81E3A" w14:textId="77777777" w:rsidR="00A712D5" w:rsidRDefault="00A712D5" w:rsidP="00A712D5">
      <w:pPr>
        <w:pStyle w:val="a5"/>
        <w:spacing w:line="240" w:lineRule="exact"/>
        <w:jc w:val="center"/>
        <w:rPr>
          <w:rFonts w:eastAsia="方正小标宋简体" w:hAnsi="宋体"/>
          <w:bCs/>
          <w:color w:val="FF0000"/>
          <w:spacing w:val="-2"/>
          <w:w w:val="51"/>
          <w:sz w:val="144"/>
          <w:szCs w:val="144"/>
        </w:rPr>
      </w:pPr>
    </w:p>
    <w:p w14:paraId="473C84C4" w14:textId="77777777" w:rsidR="00A712D5" w:rsidRDefault="00A712D5" w:rsidP="00A712D5">
      <w:pPr>
        <w:pStyle w:val="a5"/>
        <w:spacing w:line="240" w:lineRule="exact"/>
        <w:jc w:val="center"/>
        <w:rPr>
          <w:rFonts w:eastAsia="方正小标宋简体" w:hAnsi="宋体"/>
          <w:bCs/>
          <w:color w:val="FF0000"/>
          <w:spacing w:val="-2"/>
          <w:w w:val="51"/>
          <w:sz w:val="144"/>
          <w:szCs w:val="144"/>
        </w:rPr>
      </w:pPr>
    </w:p>
    <w:p w14:paraId="77BE2A0B" w14:textId="77777777" w:rsidR="00A712D5" w:rsidRPr="00A32D1C" w:rsidRDefault="00A712D5" w:rsidP="00A712D5">
      <w:pPr>
        <w:pStyle w:val="a5"/>
        <w:jc w:val="center"/>
        <w:rPr>
          <w:rFonts w:eastAsia="方正小标宋简体" w:hAnsi="宋体"/>
          <w:color w:val="FF0000"/>
          <w:spacing w:val="-2"/>
          <w:w w:val="51"/>
          <w:sz w:val="144"/>
          <w:szCs w:val="144"/>
        </w:rPr>
      </w:pPr>
      <w:r w:rsidRPr="00A32D1C">
        <w:rPr>
          <w:rFonts w:eastAsia="方正小标宋简体" w:hAnsi="宋体" w:cs="方正小标宋简体" w:hint="eastAsia"/>
          <w:color w:val="FF0000"/>
          <w:spacing w:val="-2"/>
          <w:w w:val="51"/>
          <w:sz w:val="144"/>
          <w:szCs w:val="144"/>
        </w:rPr>
        <w:t>济南市钢城区人民政府文件</w:t>
      </w:r>
    </w:p>
    <w:p w14:paraId="555FD5D7" w14:textId="77777777" w:rsidR="00A712D5" w:rsidRDefault="00A712D5" w:rsidP="00A712D5">
      <w:pPr>
        <w:pStyle w:val="a5"/>
        <w:spacing w:line="616" w:lineRule="exact"/>
        <w:ind w:firstLine="210"/>
        <w:jc w:val="center"/>
        <w:rPr>
          <w:rFonts w:eastAsia="方正小标宋简体" w:hAnsi="宋体"/>
          <w:color w:val="000000"/>
          <w:spacing w:val="48"/>
          <w:w w:val="47"/>
          <w:sz w:val="150"/>
          <w:szCs w:val="150"/>
        </w:rPr>
      </w:pPr>
      <w:r>
        <w:rPr>
          <w:rFonts w:hAnsi="宋体" w:cs="宋体"/>
          <w:noProof/>
        </w:rPr>
        <mc:AlternateContent>
          <mc:Choice Requires="wps">
            <w:drawing>
              <wp:anchor distT="0" distB="0" distL="114300" distR="114300" simplePos="0" relativeHeight="251659264" behindDoc="1" locked="0" layoutInCell="1" allowOverlap="1" wp14:anchorId="0097E857" wp14:editId="5EB906E1">
                <wp:simplePos x="0" y="0"/>
                <wp:positionH relativeFrom="column">
                  <wp:align>center</wp:align>
                </wp:positionH>
                <wp:positionV relativeFrom="paragraph">
                  <wp:posOffset>42545</wp:posOffset>
                </wp:positionV>
                <wp:extent cx="5598160" cy="0"/>
                <wp:effectExtent l="17780" t="12065" r="13335" b="1651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8160" cy="0"/>
                        </a:xfrm>
                        <a:prstGeom prst="line">
                          <a:avLst/>
                        </a:prstGeom>
                        <a:noFill/>
                        <a:ln w="19050">
                          <a:solidFill>
                            <a:srgbClr val="FFFFFF"/>
                          </a:solidFill>
                          <a:round/>
                        </a:ln>
                      </wps:spPr>
                      <wps:bodyPr/>
                    </wps:wsp>
                  </a:graphicData>
                </a:graphic>
              </wp:anchor>
            </w:drawing>
          </mc:Choice>
          <mc:Fallback>
            <w:pict>
              <v:line w14:anchorId="71E7CC4D" id="直接连接符 2" o:spid="_x0000_s1026" style="position:absolute;left:0;text-align:left;z-index:-251657216;visibility:visible;mso-wrap-style:square;mso-wrap-distance-left:9pt;mso-wrap-distance-top:0;mso-wrap-distance-right:9pt;mso-wrap-distance-bottom:0;mso-position-horizontal:center;mso-position-horizontal-relative:text;mso-position-vertical:absolute;mso-position-vertical-relative:text" from="0,3.35pt" to="440.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" strokecolor="white" strokeweight="1.5pt"/>
            </w:pict>
          </mc:Fallback>
        </mc:AlternateContent>
      </w:r>
    </w:p>
    <w:p w14:paraId="589B7E08" w14:textId="0ABB5D8F" w:rsidR="00A712D5" w:rsidRDefault="00A712D5" w:rsidP="00A712D5">
      <w:pPr>
        <w:spacing w:line="616" w:lineRule="exact"/>
        <w:jc w:val="center"/>
        <w:rPr>
          <w:rFonts w:ascii="宋体" w:eastAsia="方正仿宋简体" w:hAnsi="宋体"/>
          <w:sz w:val="32"/>
          <w:szCs w:val="32"/>
        </w:rPr>
      </w:pPr>
      <w:r>
        <w:rPr>
          <w:rFonts w:ascii="宋体" w:eastAsia="方正仿宋简体" w:hAnsi="宋体" w:cs="文星仿宋" w:hint="eastAsia"/>
          <w:sz w:val="32"/>
          <w:szCs w:val="32"/>
        </w:rPr>
        <w:t>钢城政发〔</w:t>
      </w:r>
      <w:r>
        <w:rPr>
          <w:rFonts w:ascii="宋体" w:eastAsia="方正仿宋简体" w:hAnsi="宋体" w:cs="新宋体" w:hint="eastAsia"/>
          <w:sz w:val="32"/>
          <w:szCs w:val="32"/>
        </w:rPr>
        <w:t>202</w:t>
      </w:r>
      <w:r>
        <w:rPr>
          <w:rFonts w:ascii="宋体" w:eastAsia="方正仿宋简体" w:hAnsi="宋体" w:cs="新宋体"/>
          <w:sz w:val="32"/>
          <w:szCs w:val="32"/>
        </w:rPr>
        <w:t>6</w:t>
      </w:r>
      <w:r>
        <w:rPr>
          <w:rFonts w:ascii="宋体" w:eastAsia="方正仿宋简体" w:hAnsi="宋体" w:cs="文星仿宋" w:hint="eastAsia"/>
          <w:sz w:val="32"/>
          <w:szCs w:val="32"/>
        </w:rPr>
        <w:t>〕</w:t>
      </w:r>
      <w:r>
        <w:rPr>
          <w:rFonts w:ascii="宋体" w:eastAsia="方正仿宋简体" w:hAnsi="宋体" w:cs="新宋体"/>
          <w:sz w:val="32"/>
          <w:szCs w:val="32"/>
        </w:rPr>
        <w:t>2</w:t>
      </w:r>
      <w:r>
        <w:rPr>
          <w:rFonts w:ascii="宋体" w:eastAsia="方正仿宋简体" w:hAnsi="宋体" w:cs="文星仿宋" w:hint="eastAsia"/>
          <w:sz w:val="32"/>
          <w:szCs w:val="32"/>
        </w:rPr>
        <w:t>号</w:t>
      </w:r>
    </w:p>
    <w:p w14:paraId="603EEC72" w14:textId="77777777" w:rsidR="00A712D5" w:rsidRDefault="00A712D5" w:rsidP="00A712D5">
      <w:pPr>
        <w:spacing w:line="680" w:lineRule="exact"/>
        <w:jc w:val="center"/>
        <w:rPr>
          <w:rFonts w:ascii="宋体" w:eastAsia="文星简小标宋" w:hAnsi="宋体"/>
          <w:sz w:val="44"/>
          <w:szCs w:val="44"/>
        </w:rPr>
      </w:pPr>
      <w:r>
        <w:rPr>
          <w:rFonts w:ascii="宋体" w:eastAsia="仿宋_GB2312" w:hAnsi="宋体" w:cs="Calibri"/>
          <w:noProof/>
          <w:sz w:val="30"/>
          <w:szCs w:val="22"/>
        </w:rPr>
        <mc:AlternateContent>
          <mc:Choice Requires="wps">
            <w:drawing>
              <wp:anchor distT="0" distB="0" distL="114300" distR="114300" simplePos="0" relativeHeight="251660288" behindDoc="1" locked="0" layoutInCell="1" allowOverlap="1" wp14:anchorId="7B49C532" wp14:editId="581F0433">
                <wp:simplePos x="0" y="0"/>
                <wp:positionH relativeFrom="column">
                  <wp:posOffset>6985</wp:posOffset>
                </wp:positionH>
                <wp:positionV relativeFrom="paragraph">
                  <wp:posOffset>71120</wp:posOffset>
                </wp:positionV>
                <wp:extent cx="5598160" cy="0"/>
                <wp:effectExtent l="0" t="0" r="2159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8160" cy="0"/>
                        </a:xfrm>
                        <a:prstGeom prst="line">
                          <a:avLst/>
                        </a:prstGeom>
                        <a:noFill/>
                        <a:ln w="19050">
                          <a:solidFill>
                            <a:srgbClr val="FF0000"/>
                          </a:solidFill>
                          <a:round/>
                        </a:ln>
                      </wps:spPr>
                      <wps:bodyPr/>
                    </wps:wsp>
                  </a:graphicData>
                </a:graphic>
              </wp:anchor>
            </w:drawing>
          </mc:Choice>
          <mc:Fallback>
            <w:pict>
              <v:line w14:anchorId="6A245D10" id="直接连接符 1" o:spid="_x0000_s1026" style="position:absolute;left:0;text-align:left;z-index:-251656192;visibility:visible;mso-wrap-style:square;mso-wrap-distance-left:9pt;mso-wrap-distance-top:0;mso-wrap-distance-right:9pt;mso-wrap-distance-bottom:0;mso-position-horizontal:absolute;mso-position-horizontal-relative:text;mso-position-vertical:absolute;mso-position-vertical-relative:text" from=".55pt,5.6pt" to="441.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" strokecolor="red" strokeweight="1.5pt"/>
            </w:pict>
          </mc:Fallback>
        </mc:AlternateContent>
      </w:r>
    </w:p>
    <w:p w14:paraId="6901AEB3" w14:textId="77777777" w:rsidR="00A712D5" w:rsidRDefault="00A712D5" w:rsidP="00A712D5">
      <w:pPr>
        <w:overflowPunct w:val="0"/>
        <w:spacing w:line="590" w:lineRule="exact"/>
        <w:jc w:val="center"/>
        <w:rPr>
          <w:rFonts w:ascii="宋体" w:eastAsia="方正小标宋简体" w:hAnsi="宋体"/>
          <w:sz w:val="44"/>
          <w:szCs w:val="44"/>
        </w:rPr>
      </w:pPr>
      <w:r>
        <w:rPr>
          <w:rFonts w:ascii="宋体" w:eastAsia="方正小标宋简体" w:hAnsi="宋体" w:hint="eastAsia"/>
          <w:sz w:val="44"/>
          <w:szCs w:val="44"/>
        </w:rPr>
        <w:t>济南市钢城区人民政府</w:t>
      </w:r>
    </w:p>
    <w:p w14:paraId="4C38D512" w14:textId="77777777" w:rsidR="00080503" w:rsidRDefault="003A23BA">
      <w:pPr>
        <w:overflowPunct w:val="0"/>
        <w:spacing w:line="600" w:lineRule="exact"/>
        <w:jc w:val="center"/>
        <w:textAlignment w:val="baseline"/>
        <w:rPr>
          <w:rFonts w:ascii="宋体" w:eastAsia="方正小标宋简体" w:hAnsi="宋体"/>
          <w:sz w:val="44"/>
          <w:szCs w:val="44"/>
        </w:rPr>
      </w:pPr>
      <w:r>
        <w:rPr>
          <w:rFonts w:ascii="宋体" w:eastAsia="方正小标宋简体" w:hAnsi="宋体" w:hint="eastAsia"/>
          <w:sz w:val="44"/>
          <w:szCs w:val="44"/>
        </w:rPr>
        <w:t>关于印发济南市钢城区国民经济和社会发展</w:t>
      </w:r>
    </w:p>
    <w:p w14:paraId="26524071" w14:textId="77777777" w:rsidR="00080503" w:rsidRDefault="003A23BA">
      <w:pPr>
        <w:overflowPunct w:val="0"/>
        <w:spacing w:line="600" w:lineRule="exact"/>
        <w:jc w:val="center"/>
        <w:textAlignment w:val="baseline"/>
        <w:rPr>
          <w:rFonts w:ascii="宋体" w:eastAsia="方正小标宋简体" w:hAnsi="宋体" w:cs="方正小标宋简体"/>
          <w:color w:val="000000" w:themeColor="text1"/>
          <w:kern w:val="0"/>
          <w:sz w:val="44"/>
          <w:szCs w:val="32"/>
          <w:lang w:eastAsia="en-US"/>
        </w:rPr>
      </w:pPr>
      <w:r>
        <w:rPr>
          <w:rFonts w:ascii="宋体" w:eastAsia="方正小标宋简体" w:hAnsi="宋体" w:hint="eastAsia"/>
          <w:sz w:val="44"/>
          <w:szCs w:val="44"/>
        </w:rPr>
        <w:t>第十五个五年规划纲要的通知</w:t>
      </w:r>
    </w:p>
    <w:p w14:paraId="4EDE88A0" w14:textId="77777777" w:rsidR="00080503" w:rsidRDefault="00080503">
      <w:pPr>
        <w:overflowPunct w:val="0"/>
        <w:spacing w:line="600" w:lineRule="exact"/>
        <w:rPr>
          <w:rFonts w:ascii="宋体" w:eastAsia="方正仿宋简体" w:hAnsi="宋体"/>
          <w:sz w:val="32"/>
          <w:szCs w:val="32"/>
        </w:rPr>
      </w:pPr>
    </w:p>
    <w:p w14:paraId="795E2CF6" w14:textId="77777777" w:rsidR="00080503" w:rsidRDefault="003A23BA">
      <w:pPr>
        <w:overflowPunct w:val="0"/>
        <w:spacing w:line="600" w:lineRule="exact"/>
        <w:rPr>
          <w:rFonts w:ascii="宋体" w:eastAsia="方正仿宋简体" w:hAnsi="宋体" w:cs="微软雅黑"/>
          <w:color w:val="000000"/>
          <w:sz w:val="32"/>
          <w:szCs w:val="32"/>
          <w:shd w:val="pct10" w:color="auto" w:fill="FFFFFF"/>
        </w:rPr>
      </w:pPr>
      <w:r>
        <w:rPr>
          <w:rFonts w:ascii="宋体" w:eastAsia="方正仿宋简体" w:hAnsi="宋体" w:hint="eastAsia"/>
          <w:sz w:val="32"/>
          <w:szCs w:val="32"/>
        </w:rPr>
        <w:t>各街道（功能区）办事处（管委会），区政府各部门，区属各企事业单位：</w:t>
      </w:r>
    </w:p>
    <w:p w14:paraId="57241A48" w14:textId="77777777" w:rsidR="00080503" w:rsidRDefault="003A23BA">
      <w:pPr>
        <w:overflowPunct w:val="0"/>
        <w:autoSpaceDE w:val="0"/>
        <w:autoSpaceDN w:val="0"/>
        <w:adjustRightInd w:val="0"/>
        <w:ind w:firstLineChars="200" w:firstLine="640"/>
        <w:rPr>
          <w:rFonts w:ascii="宋体" w:eastAsia="方正仿宋简体" w:hAnsi="宋体"/>
          <w:sz w:val="32"/>
          <w:szCs w:val="32"/>
        </w:rPr>
      </w:pPr>
      <w:r>
        <w:rPr>
          <w:rFonts w:ascii="宋体" w:eastAsia="方正仿宋简体" w:hAnsi="宋体" w:hint="eastAsia"/>
          <w:sz w:val="32"/>
          <w:szCs w:val="32"/>
        </w:rPr>
        <w:t>《济南市钢城区国民经济和社会发展第十五个五年规划纲要》（以下简称《纲要》）已经</w:t>
      </w:r>
      <w:bookmarkStart w:id="0" w:name="OLE_LINK1"/>
      <w:bookmarkStart w:id="1" w:name="OLE_LINK2"/>
      <w:r>
        <w:rPr>
          <w:rFonts w:ascii="宋体" w:eastAsia="方正仿宋简体" w:hAnsi="宋体" w:hint="eastAsia"/>
          <w:sz w:val="32"/>
          <w:szCs w:val="32"/>
        </w:rPr>
        <w:t>济南市钢城区第十九届人民代表大会第六次会议</w:t>
      </w:r>
      <w:bookmarkEnd w:id="0"/>
      <w:bookmarkEnd w:id="1"/>
      <w:r>
        <w:rPr>
          <w:rFonts w:ascii="宋体" w:eastAsia="方正仿宋简体" w:hAnsi="宋体" w:hint="eastAsia"/>
          <w:sz w:val="32"/>
          <w:szCs w:val="32"/>
        </w:rPr>
        <w:t>审查批准</w:t>
      </w:r>
      <w:r>
        <w:rPr>
          <w:rFonts w:ascii="宋体" w:eastAsia="方正仿宋简体" w:hAnsi="宋体"/>
          <w:sz w:val="32"/>
          <w:szCs w:val="32"/>
        </w:rPr>
        <w:t>，</w:t>
      </w:r>
      <w:r>
        <w:rPr>
          <w:rFonts w:ascii="宋体" w:eastAsia="方正仿宋简体" w:hAnsi="宋体" w:hint="eastAsia"/>
          <w:sz w:val="32"/>
          <w:szCs w:val="32"/>
        </w:rPr>
        <w:t>现印发给你们</w:t>
      </w:r>
      <w:r>
        <w:rPr>
          <w:rFonts w:ascii="宋体" w:eastAsia="方正仿宋简体" w:hAnsi="宋体"/>
          <w:sz w:val="32"/>
          <w:szCs w:val="32"/>
        </w:rPr>
        <w:t>，</w:t>
      </w:r>
      <w:r>
        <w:rPr>
          <w:rFonts w:ascii="宋体" w:eastAsia="方正仿宋简体" w:hAnsi="宋体" w:hint="eastAsia"/>
          <w:sz w:val="32"/>
          <w:szCs w:val="32"/>
        </w:rPr>
        <w:t>请认真组织实施。</w:t>
      </w:r>
    </w:p>
    <w:p w14:paraId="483C8A60" w14:textId="77777777" w:rsidR="00080503" w:rsidRDefault="003A23BA">
      <w:pPr>
        <w:overflowPunct w:val="0"/>
        <w:autoSpaceDE w:val="0"/>
        <w:autoSpaceDN w:val="0"/>
        <w:adjustRightInd w:val="0"/>
        <w:ind w:firstLineChars="200" w:firstLine="640"/>
        <w:rPr>
          <w:rFonts w:ascii="宋体" w:eastAsia="方正仿宋简体" w:hAnsi="宋体"/>
          <w:sz w:val="32"/>
          <w:szCs w:val="32"/>
        </w:rPr>
      </w:pPr>
      <w:r>
        <w:rPr>
          <w:rFonts w:ascii="宋体" w:eastAsia="方正仿宋简体" w:hAnsi="宋体" w:hint="eastAsia"/>
          <w:sz w:val="32"/>
          <w:szCs w:val="32"/>
        </w:rPr>
        <w:t>《纲要》坚持以习近平新时代中国特色社会主义思想为指导，深入贯彻党的二十大和二十届历次全会精神，认真落实习近平总书记视察山东重要讲话和重要指示批示精神，完整准确全面</w:t>
      </w:r>
      <w:r>
        <w:rPr>
          <w:rFonts w:ascii="宋体" w:eastAsia="方正仿宋简体" w:hAnsi="宋体" w:hint="eastAsia"/>
          <w:sz w:val="32"/>
          <w:szCs w:val="32"/>
        </w:rPr>
        <w:lastRenderedPageBreak/>
        <w:t>贯彻新发展理念，主动服务和融入新发展格局，坚持稳中求进工作总基调，全面总结“十四五”时期发展成就，系统阐述“十五五”时期发展战略、总体目标、主要任务和重要举措，是“十五五”时期钢城区经济社会高质量发展的宏伟蓝图，是全区人民共同的行动纲领。</w:t>
      </w:r>
    </w:p>
    <w:p w14:paraId="666D52E2" w14:textId="77777777" w:rsidR="00080503" w:rsidRDefault="003A23BA">
      <w:pPr>
        <w:overflowPunct w:val="0"/>
        <w:autoSpaceDE w:val="0"/>
        <w:autoSpaceDN w:val="0"/>
        <w:adjustRightInd w:val="0"/>
        <w:ind w:firstLineChars="200" w:firstLine="640"/>
        <w:rPr>
          <w:rFonts w:ascii="宋体" w:eastAsia="方正仿宋简体" w:hAnsi="宋体"/>
          <w:sz w:val="32"/>
          <w:szCs w:val="32"/>
        </w:rPr>
      </w:pPr>
      <w:r>
        <w:rPr>
          <w:rFonts w:ascii="宋体" w:eastAsia="方正仿宋简体" w:hAnsi="宋体" w:hint="eastAsia"/>
          <w:sz w:val="32"/>
          <w:szCs w:val="32"/>
        </w:rPr>
        <w:t>各级各部门单位要认真学习领会《纲要》精神，结合本地区、本部门实际，切实抓好《纲要》的贯彻落实，为顺利完成“十五五”时期各项重点工作、加快建设现代化高品质美丽钢城而努力奋斗。</w:t>
      </w:r>
    </w:p>
    <w:p w14:paraId="4AFDBA79" w14:textId="77777777" w:rsidR="00080503" w:rsidRDefault="00080503">
      <w:pPr>
        <w:overflowPunct w:val="0"/>
        <w:autoSpaceDE w:val="0"/>
        <w:autoSpaceDN w:val="0"/>
        <w:adjustRightInd w:val="0"/>
        <w:ind w:firstLineChars="200" w:firstLine="640"/>
        <w:rPr>
          <w:rFonts w:ascii="宋体" w:eastAsia="方正仿宋简体" w:hAnsi="宋体"/>
          <w:sz w:val="32"/>
          <w:szCs w:val="32"/>
        </w:rPr>
      </w:pPr>
    </w:p>
    <w:p w14:paraId="0430A78D" w14:textId="77777777" w:rsidR="00080503" w:rsidRDefault="00080503">
      <w:pPr>
        <w:overflowPunct w:val="0"/>
        <w:autoSpaceDE w:val="0"/>
        <w:autoSpaceDN w:val="0"/>
        <w:adjustRightInd w:val="0"/>
        <w:rPr>
          <w:rFonts w:ascii="宋体" w:eastAsia="方正仿宋简体" w:hAnsi="宋体"/>
          <w:sz w:val="32"/>
          <w:szCs w:val="32"/>
        </w:rPr>
      </w:pPr>
    </w:p>
    <w:p w14:paraId="3E017F6A" w14:textId="77777777" w:rsidR="00080503" w:rsidRDefault="00080503">
      <w:pPr>
        <w:overflowPunct w:val="0"/>
        <w:autoSpaceDE w:val="0"/>
        <w:autoSpaceDN w:val="0"/>
        <w:adjustRightInd w:val="0"/>
        <w:rPr>
          <w:rFonts w:ascii="宋体" w:eastAsia="方正仿宋简体" w:hAnsi="宋体"/>
          <w:sz w:val="32"/>
          <w:szCs w:val="32"/>
        </w:rPr>
      </w:pPr>
    </w:p>
    <w:p w14:paraId="707A700D" w14:textId="77777777" w:rsidR="00080503" w:rsidRDefault="003A23BA">
      <w:pPr>
        <w:wordWrap w:val="0"/>
        <w:overflowPunct w:val="0"/>
        <w:autoSpaceDE w:val="0"/>
        <w:autoSpaceDN w:val="0"/>
        <w:adjustRightInd w:val="0"/>
        <w:ind w:right="320"/>
        <w:jc w:val="right"/>
        <w:rPr>
          <w:rFonts w:ascii="宋体" w:eastAsia="方正仿宋简体" w:hAnsi="宋体"/>
          <w:sz w:val="32"/>
          <w:szCs w:val="32"/>
        </w:rPr>
      </w:pPr>
      <w:r>
        <w:rPr>
          <w:rFonts w:ascii="宋体" w:eastAsia="方正仿宋简体" w:hAnsi="宋体" w:hint="eastAsia"/>
          <w:sz w:val="32"/>
          <w:szCs w:val="32"/>
        </w:rPr>
        <w:t>济南市钢城区人民政府</w:t>
      </w:r>
      <w:r>
        <w:rPr>
          <w:rFonts w:ascii="宋体" w:eastAsia="方正仿宋简体" w:hAnsi="宋体"/>
          <w:sz w:val="32"/>
          <w:szCs w:val="32"/>
        </w:rPr>
        <w:t xml:space="preserve">   </w:t>
      </w:r>
    </w:p>
    <w:p w14:paraId="485D4915" w14:textId="28063DE7" w:rsidR="00080503" w:rsidRDefault="003A23BA">
      <w:pPr>
        <w:wordWrap w:val="0"/>
        <w:overflowPunct w:val="0"/>
        <w:autoSpaceDE w:val="0"/>
        <w:autoSpaceDN w:val="0"/>
        <w:adjustRightInd w:val="0"/>
        <w:jc w:val="right"/>
        <w:rPr>
          <w:rFonts w:ascii="宋体" w:eastAsia="方正仿宋简体" w:hAnsi="宋体"/>
          <w:sz w:val="32"/>
          <w:szCs w:val="32"/>
        </w:rPr>
      </w:pPr>
      <w:r>
        <w:rPr>
          <w:rFonts w:ascii="宋体" w:eastAsia="方正仿宋简体" w:hAnsi="宋体"/>
          <w:sz w:val="32"/>
          <w:szCs w:val="32"/>
        </w:rPr>
        <w:t>2026</w:t>
      </w:r>
      <w:r>
        <w:rPr>
          <w:rFonts w:ascii="宋体" w:eastAsia="方正仿宋简体" w:hAnsi="宋体" w:hint="eastAsia"/>
          <w:sz w:val="32"/>
          <w:szCs w:val="32"/>
        </w:rPr>
        <w:t>年</w:t>
      </w:r>
      <w:r>
        <w:rPr>
          <w:rFonts w:ascii="宋体" w:eastAsia="方正仿宋简体" w:hAnsi="宋体"/>
          <w:sz w:val="32"/>
          <w:szCs w:val="32"/>
        </w:rPr>
        <w:t>6</w:t>
      </w:r>
      <w:r>
        <w:rPr>
          <w:rFonts w:ascii="宋体" w:eastAsia="方正仿宋简体" w:hAnsi="宋体" w:hint="eastAsia"/>
          <w:sz w:val="32"/>
          <w:szCs w:val="32"/>
        </w:rPr>
        <w:t>月</w:t>
      </w:r>
      <w:r w:rsidR="00A712D5">
        <w:rPr>
          <w:rFonts w:ascii="宋体" w:eastAsia="方正仿宋简体" w:hAnsi="宋体"/>
          <w:sz w:val="32"/>
          <w:szCs w:val="32"/>
        </w:rPr>
        <w:t>17</w:t>
      </w:r>
      <w:r>
        <w:rPr>
          <w:rFonts w:ascii="宋体" w:eastAsia="方正仿宋简体" w:hAnsi="宋体" w:hint="eastAsia"/>
          <w:sz w:val="32"/>
          <w:szCs w:val="32"/>
        </w:rPr>
        <w:t>日</w:t>
      </w:r>
      <w:r>
        <w:rPr>
          <w:rFonts w:ascii="宋体" w:eastAsia="方正仿宋简体" w:hAnsi="宋体" w:hint="eastAsia"/>
          <w:sz w:val="32"/>
          <w:szCs w:val="32"/>
        </w:rPr>
        <w:t xml:space="preserve"> </w:t>
      </w:r>
      <w:r>
        <w:rPr>
          <w:rFonts w:ascii="宋体" w:eastAsia="方正仿宋简体" w:hAnsi="宋体"/>
          <w:sz w:val="32"/>
          <w:szCs w:val="32"/>
        </w:rPr>
        <w:t xml:space="preserve">       </w:t>
      </w:r>
    </w:p>
    <w:p w14:paraId="1EFB3FCE" w14:textId="77777777" w:rsidR="00080503" w:rsidRDefault="00080503">
      <w:pPr>
        <w:overflowPunct w:val="0"/>
        <w:autoSpaceDE w:val="0"/>
        <w:autoSpaceDN w:val="0"/>
        <w:adjustRightInd w:val="0"/>
        <w:rPr>
          <w:rFonts w:ascii="宋体" w:eastAsia="方正仿宋简体" w:hAnsi="宋体"/>
          <w:sz w:val="32"/>
          <w:szCs w:val="32"/>
        </w:rPr>
      </w:pPr>
    </w:p>
    <w:p w14:paraId="5F468DC7" w14:textId="77777777" w:rsidR="00080503" w:rsidRDefault="003A23BA">
      <w:pPr>
        <w:overflowPunct w:val="0"/>
        <w:autoSpaceDE w:val="0"/>
        <w:autoSpaceDN w:val="0"/>
        <w:adjustRightInd w:val="0"/>
        <w:ind w:firstLineChars="200" w:firstLine="640"/>
        <w:rPr>
          <w:rFonts w:ascii="宋体" w:eastAsia="方正仿宋简体" w:hAnsi="宋体"/>
          <w:sz w:val="32"/>
          <w:szCs w:val="32"/>
        </w:rPr>
      </w:pPr>
      <w:r>
        <w:rPr>
          <w:rFonts w:ascii="宋体" w:eastAsia="方正仿宋简体" w:hAnsi="宋体" w:hint="eastAsia"/>
          <w:sz w:val="32"/>
          <w:szCs w:val="32"/>
        </w:rPr>
        <w:t>（联系电话：区发展改革局，</w:t>
      </w:r>
      <w:r>
        <w:rPr>
          <w:rFonts w:ascii="宋体" w:eastAsia="方正仿宋简体" w:hAnsi="宋体" w:hint="eastAsia"/>
          <w:sz w:val="32"/>
          <w:szCs w:val="32"/>
        </w:rPr>
        <w:t>7</w:t>
      </w:r>
      <w:r>
        <w:rPr>
          <w:rFonts w:ascii="宋体" w:eastAsia="方正仿宋简体" w:hAnsi="宋体"/>
          <w:sz w:val="32"/>
          <w:szCs w:val="32"/>
        </w:rPr>
        <w:t>6881321</w:t>
      </w:r>
      <w:r>
        <w:rPr>
          <w:rFonts w:ascii="宋体" w:eastAsia="方正仿宋简体" w:hAnsi="宋体" w:hint="eastAsia"/>
          <w:sz w:val="32"/>
          <w:szCs w:val="32"/>
        </w:rPr>
        <w:t>）</w:t>
      </w:r>
    </w:p>
    <w:p w14:paraId="2FFD8111" w14:textId="77777777" w:rsidR="00080503" w:rsidRDefault="003A23BA">
      <w:pPr>
        <w:overflowPunct w:val="0"/>
        <w:autoSpaceDE w:val="0"/>
        <w:autoSpaceDN w:val="0"/>
        <w:adjustRightInd w:val="0"/>
        <w:ind w:firstLineChars="200" w:firstLine="640"/>
        <w:rPr>
          <w:rFonts w:ascii="宋体" w:eastAsia="方正仿宋简体" w:hAnsi="宋体"/>
          <w:sz w:val="32"/>
          <w:szCs w:val="32"/>
        </w:rPr>
      </w:pPr>
      <w:r>
        <w:rPr>
          <w:rFonts w:ascii="宋体" w:eastAsia="方正仿宋简体" w:hAnsi="宋体" w:hint="eastAsia"/>
          <w:sz w:val="32"/>
          <w:szCs w:val="32"/>
        </w:rPr>
        <w:t>（此件公开发布）</w:t>
      </w:r>
      <w:bookmarkStart w:id="2" w:name="_GoBack"/>
      <w:bookmarkEnd w:id="2"/>
    </w:p>
    <w:p w14:paraId="5057CBE6" w14:textId="77777777" w:rsidR="00080503" w:rsidRDefault="003A23BA">
      <w:pPr>
        <w:overflowPunct w:val="0"/>
        <w:spacing w:line="600" w:lineRule="exact"/>
        <w:rPr>
          <w:rFonts w:ascii="宋体" w:hAnsi="宋体"/>
        </w:rPr>
      </w:pPr>
      <w:r>
        <w:rPr>
          <w:rFonts w:ascii="宋体" w:hAnsi="宋体"/>
        </w:rPr>
        <w:br w:type="page"/>
      </w:r>
    </w:p>
    <w:p w14:paraId="0C9CE609" w14:textId="77777777" w:rsidR="00080503" w:rsidRDefault="00080503">
      <w:pPr>
        <w:overflowPunct w:val="0"/>
        <w:spacing w:line="560" w:lineRule="exact"/>
        <w:ind w:firstLineChars="2300" w:firstLine="7360"/>
        <w:rPr>
          <w:rFonts w:ascii="宋体" w:eastAsia="方正小标宋简体" w:hAnsi="宋体" w:cs="方正小标宋简体"/>
          <w:sz w:val="32"/>
          <w:szCs w:val="40"/>
        </w:rPr>
      </w:pPr>
    </w:p>
    <w:p w14:paraId="508020DB" w14:textId="77777777" w:rsidR="00080503" w:rsidRDefault="00080503">
      <w:pPr>
        <w:overflowPunct w:val="0"/>
        <w:spacing w:line="560" w:lineRule="exact"/>
        <w:ind w:firstLineChars="2300" w:firstLine="7360"/>
        <w:rPr>
          <w:rFonts w:ascii="宋体" w:eastAsia="方正小标宋简体" w:hAnsi="宋体" w:cs="方正小标宋简体"/>
          <w:sz w:val="32"/>
          <w:szCs w:val="40"/>
        </w:rPr>
      </w:pPr>
    </w:p>
    <w:p w14:paraId="1B1122B2" w14:textId="77777777" w:rsidR="00080503" w:rsidRDefault="00080503">
      <w:pPr>
        <w:overflowPunct w:val="0"/>
        <w:rPr>
          <w:rFonts w:ascii="宋体" w:eastAsia="方正小标宋简体" w:hAnsi="宋体" w:cs="方正小标宋简体"/>
          <w:sz w:val="32"/>
          <w:szCs w:val="40"/>
        </w:rPr>
      </w:pPr>
    </w:p>
    <w:p w14:paraId="1E0873F9" w14:textId="77777777" w:rsidR="00080503" w:rsidRDefault="00080503">
      <w:pPr>
        <w:overflowPunct w:val="0"/>
        <w:rPr>
          <w:rFonts w:ascii="宋体" w:eastAsia="方正小标宋简体" w:hAnsi="宋体" w:cs="方正小标宋简体"/>
          <w:sz w:val="32"/>
          <w:szCs w:val="40"/>
        </w:rPr>
      </w:pPr>
    </w:p>
    <w:p w14:paraId="3906D32E" w14:textId="77777777" w:rsidR="00080503" w:rsidRDefault="003A23BA">
      <w:pPr>
        <w:overflowPunct w:val="0"/>
        <w:jc w:val="center"/>
        <w:rPr>
          <w:rFonts w:ascii="宋体" w:eastAsia="方正小标宋简体" w:hAnsi="宋体" w:cs="方正小标宋简体"/>
          <w:sz w:val="56"/>
          <w:szCs w:val="56"/>
        </w:rPr>
      </w:pPr>
      <w:r>
        <w:rPr>
          <w:rFonts w:ascii="宋体" w:eastAsia="方正小标宋简体" w:hAnsi="宋体" w:cs="方正小标宋简体" w:hint="eastAsia"/>
          <w:sz w:val="56"/>
          <w:szCs w:val="56"/>
        </w:rPr>
        <w:t>济南市钢城区国民经济和社会发展第十五个五年规划纲要</w:t>
      </w:r>
    </w:p>
    <w:p w14:paraId="644CB2F5"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5710604C"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2AE937DD"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64E5E36F"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045597B8"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75D160BB" w14:textId="77777777" w:rsidR="00080503" w:rsidRDefault="00080503">
      <w:pPr>
        <w:overflowPunct w:val="0"/>
        <w:adjustRightInd w:val="0"/>
        <w:snapToGrid w:val="0"/>
        <w:spacing w:line="600" w:lineRule="exact"/>
        <w:rPr>
          <w:rFonts w:ascii="宋体" w:hAnsi="宋体" w:cs="仿宋_GB2312"/>
          <w:sz w:val="32"/>
          <w:szCs w:val="40"/>
        </w:rPr>
      </w:pPr>
    </w:p>
    <w:p w14:paraId="27EA3574" w14:textId="77777777" w:rsidR="00080503" w:rsidRDefault="00080503">
      <w:pPr>
        <w:overflowPunct w:val="0"/>
        <w:adjustRightInd w:val="0"/>
        <w:snapToGrid w:val="0"/>
        <w:spacing w:line="600" w:lineRule="exact"/>
        <w:rPr>
          <w:rFonts w:ascii="宋体" w:hAnsi="宋体" w:cs="仿宋_GB2312"/>
          <w:sz w:val="32"/>
          <w:szCs w:val="40"/>
        </w:rPr>
      </w:pPr>
    </w:p>
    <w:p w14:paraId="7087531C"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5954B86A"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28DB6E7E"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00FF254F" w14:textId="77777777" w:rsidR="00080503" w:rsidRDefault="00080503">
      <w:pPr>
        <w:overflowPunct w:val="0"/>
        <w:adjustRightInd w:val="0"/>
        <w:snapToGrid w:val="0"/>
        <w:spacing w:line="600" w:lineRule="exact"/>
        <w:ind w:firstLineChars="200" w:firstLine="640"/>
        <w:rPr>
          <w:rFonts w:ascii="宋体" w:hAnsi="宋体" w:cs="仿宋_GB2312"/>
          <w:sz w:val="32"/>
          <w:szCs w:val="40"/>
        </w:rPr>
      </w:pPr>
    </w:p>
    <w:p w14:paraId="1972954E" w14:textId="77777777" w:rsidR="00080503" w:rsidRDefault="003A23BA">
      <w:pPr>
        <w:overflowPunct w:val="0"/>
        <w:spacing w:line="600" w:lineRule="exact"/>
        <w:jc w:val="center"/>
        <w:rPr>
          <w:rFonts w:ascii="宋体" w:eastAsia="方正楷体简体" w:hAnsi="宋体" w:cs="方正楷体简体"/>
          <w:sz w:val="32"/>
          <w:szCs w:val="32"/>
        </w:rPr>
      </w:pPr>
      <w:r>
        <w:rPr>
          <w:rFonts w:ascii="宋体" w:eastAsia="方正楷体简体" w:hAnsi="宋体" w:cs="方正楷体简体" w:hint="eastAsia"/>
          <w:sz w:val="32"/>
          <w:szCs w:val="32"/>
        </w:rPr>
        <w:t>2</w:t>
      </w:r>
      <w:r>
        <w:rPr>
          <w:rFonts w:ascii="宋体" w:eastAsia="方正楷体简体" w:hAnsi="宋体" w:cs="方正楷体简体"/>
          <w:sz w:val="32"/>
          <w:szCs w:val="32"/>
        </w:rPr>
        <w:t>026</w:t>
      </w:r>
      <w:r>
        <w:rPr>
          <w:rFonts w:ascii="宋体" w:eastAsia="方正楷体简体" w:hAnsi="宋体" w:cs="方正楷体简体" w:hint="eastAsia"/>
          <w:sz w:val="32"/>
          <w:szCs w:val="32"/>
        </w:rPr>
        <w:t>年</w:t>
      </w:r>
      <w:r>
        <w:rPr>
          <w:rFonts w:ascii="宋体" w:eastAsia="方正楷体简体" w:hAnsi="宋体" w:cs="方正楷体简体"/>
          <w:sz w:val="32"/>
          <w:szCs w:val="32"/>
        </w:rPr>
        <w:t>6</w:t>
      </w:r>
      <w:r>
        <w:rPr>
          <w:rFonts w:ascii="宋体" w:eastAsia="方正楷体简体" w:hAnsi="宋体" w:cs="方正楷体简体" w:hint="eastAsia"/>
          <w:sz w:val="32"/>
          <w:szCs w:val="32"/>
        </w:rPr>
        <w:t>月</w:t>
      </w:r>
      <w:r>
        <w:rPr>
          <w:rFonts w:ascii="宋体" w:eastAsia="方正楷体简体" w:hAnsi="宋体" w:cs="方正楷体简体"/>
          <w:sz w:val="32"/>
          <w:szCs w:val="32"/>
        </w:rPr>
        <w:br w:type="page"/>
      </w:r>
    </w:p>
    <w:p w14:paraId="4268367A" w14:textId="77777777" w:rsidR="00080503" w:rsidRDefault="00080503">
      <w:pPr>
        <w:overflowPunct w:val="0"/>
        <w:spacing w:line="600" w:lineRule="exact"/>
        <w:jc w:val="center"/>
        <w:rPr>
          <w:rFonts w:ascii="宋体" w:eastAsia="方正小标宋简体" w:hAnsi="宋体"/>
          <w:sz w:val="44"/>
          <w:szCs w:val="44"/>
        </w:rPr>
      </w:pPr>
    </w:p>
    <w:p w14:paraId="5DC74EAD" w14:textId="77777777" w:rsidR="00080503" w:rsidRDefault="003A23BA">
      <w:pPr>
        <w:overflowPunct w:val="0"/>
        <w:spacing w:line="600" w:lineRule="exact"/>
        <w:jc w:val="center"/>
        <w:rPr>
          <w:rFonts w:ascii="宋体" w:eastAsia="方正小标宋简体" w:hAnsi="宋体"/>
          <w:sz w:val="44"/>
          <w:szCs w:val="44"/>
        </w:rPr>
      </w:pPr>
      <w:r>
        <w:rPr>
          <w:rFonts w:ascii="宋体" w:eastAsia="方正小标宋简体" w:hAnsi="宋体" w:hint="eastAsia"/>
          <w:sz w:val="44"/>
          <w:szCs w:val="44"/>
        </w:rPr>
        <w:t>目</w:t>
      </w:r>
      <w:r>
        <w:rPr>
          <w:rFonts w:ascii="宋体" w:eastAsia="方正小标宋简体" w:hAnsi="宋体" w:hint="eastAsia"/>
          <w:sz w:val="44"/>
          <w:szCs w:val="44"/>
        </w:rPr>
        <w:t xml:space="preserve">  </w:t>
      </w:r>
      <w:r>
        <w:rPr>
          <w:rFonts w:ascii="宋体" w:eastAsia="方正小标宋简体" w:hAnsi="宋体" w:hint="eastAsia"/>
          <w:sz w:val="44"/>
          <w:szCs w:val="44"/>
        </w:rPr>
        <w:t>录</w:t>
      </w:r>
    </w:p>
    <w:p w14:paraId="54632E54" w14:textId="77777777" w:rsidR="00080503" w:rsidRDefault="00080503">
      <w:pPr>
        <w:pStyle w:val="a3"/>
        <w:overflowPunct w:val="0"/>
        <w:spacing w:line="600" w:lineRule="exact"/>
        <w:rPr>
          <w:rFonts w:ascii="宋体" w:eastAsia="方正仿宋简体" w:hAnsi="宋体"/>
          <w:sz w:val="32"/>
          <w:szCs w:val="32"/>
        </w:rPr>
      </w:pPr>
    </w:p>
    <w:p w14:paraId="271FECB0" w14:textId="77777777" w:rsidR="00080503" w:rsidRDefault="003A23BA">
      <w:pPr>
        <w:pStyle w:val="a3"/>
        <w:overflowPunct w:val="0"/>
        <w:spacing w:after="0" w:line="600" w:lineRule="exact"/>
        <w:jc w:val="left"/>
        <w:rPr>
          <w:rFonts w:ascii="宋体" w:eastAsia="黑体" w:hAnsi="宋体" w:cs="黑体"/>
          <w:sz w:val="32"/>
          <w:szCs w:val="96"/>
        </w:rPr>
      </w:pPr>
      <w:r>
        <w:rPr>
          <w:rFonts w:ascii="宋体" w:eastAsia="黑体" w:hAnsi="宋体" w:hint="eastAsia"/>
          <w:sz w:val="32"/>
          <w:szCs w:val="32"/>
        </w:rPr>
        <w:t>第一章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cs="黑体" w:hint="eastAsia"/>
          <w:sz w:val="32"/>
          <w:szCs w:val="96"/>
        </w:rPr>
        <w:t>“十四五”时期经济社会发展回顾</w:t>
      </w:r>
      <w:bookmarkStart w:id="3" w:name="OLE_LINK127"/>
      <w:bookmarkStart w:id="4" w:name="OLE_LINK128"/>
      <w:r>
        <w:rPr>
          <w:rFonts w:ascii="宋体" w:eastAsia="黑体" w:hAnsi="宋体" w:cs="黑体" w:hint="eastAsia"/>
          <w:sz w:val="32"/>
          <w:szCs w:val="96"/>
        </w:rPr>
        <w:t xml:space="preserve"> </w:t>
      </w:r>
      <w:r>
        <w:rPr>
          <w:rFonts w:ascii="宋体" w:eastAsia="宋体" w:hAnsi="宋体" w:cs="黑体" w:hint="eastAsia"/>
          <w:sz w:val="32"/>
          <w:szCs w:val="96"/>
        </w:rPr>
        <w:t>……………</w:t>
      </w:r>
      <w:bookmarkEnd w:id="3"/>
      <w:bookmarkEnd w:id="4"/>
      <w:r>
        <w:rPr>
          <w:rFonts w:ascii="宋体" w:eastAsia="宋体" w:hAnsi="宋体" w:cs="黑体" w:hint="eastAsia"/>
          <w:sz w:val="32"/>
          <w:szCs w:val="96"/>
        </w:rPr>
        <w:t>……</w:t>
      </w:r>
      <w:r>
        <w:rPr>
          <w:rFonts w:ascii="宋体" w:eastAsia="方正仿宋简体" w:hAnsi="宋体"/>
          <w:kern w:val="0"/>
          <w:sz w:val="32"/>
          <w:szCs w:val="32"/>
        </w:rPr>
        <w:t>8</w:t>
      </w:r>
    </w:p>
    <w:p w14:paraId="5709F72F"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综合实力稳步增强</w:t>
      </w:r>
      <w:r>
        <w:rPr>
          <w:rFonts w:ascii="宋体" w:eastAsia="方正仿宋简体" w:hAnsi="宋体" w:hint="eastAsia"/>
          <w:sz w:val="32"/>
          <w:szCs w:val="32"/>
        </w:rPr>
        <w:t xml:space="preserve"> </w:t>
      </w:r>
      <w:r>
        <w:rPr>
          <w:rFonts w:ascii="宋体" w:eastAsia="宋体" w:hAnsi="宋体" w:hint="eastAsia"/>
          <w:sz w:val="32"/>
          <w:szCs w:val="32"/>
        </w:rPr>
        <w:t>………………………………</w:t>
      </w:r>
      <w:r>
        <w:rPr>
          <w:rFonts w:ascii="宋体" w:eastAsia="方正仿宋简体" w:hAnsi="宋体" w:hint="eastAsia"/>
          <w:sz w:val="32"/>
          <w:szCs w:val="32"/>
        </w:rPr>
        <w:t>9</w:t>
      </w:r>
    </w:p>
    <w:p w14:paraId="55514C4B"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产业升级步伐加快</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sz w:val="32"/>
          <w:szCs w:val="32"/>
        </w:rPr>
        <w:t>……………………………</w:t>
      </w:r>
      <w:r>
        <w:rPr>
          <w:rFonts w:ascii="宋体" w:eastAsia="方正仿宋简体" w:hAnsi="宋体" w:hint="eastAsia"/>
          <w:sz w:val="32"/>
          <w:szCs w:val="32"/>
        </w:rPr>
        <w:t>9</w:t>
      </w:r>
    </w:p>
    <w:p w14:paraId="3444EDE1"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创新活力加速释放</w:t>
      </w:r>
      <w:bookmarkStart w:id="5" w:name="OLE_LINK126"/>
      <w:bookmarkStart w:id="6" w:name="OLE_LINK125"/>
      <w:r>
        <w:rPr>
          <w:rFonts w:ascii="宋体" w:eastAsia="方正仿宋简体" w:hAnsi="宋体" w:hint="eastAsia"/>
          <w:sz w:val="32"/>
          <w:szCs w:val="32"/>
        </w:rPr>
        <w:t xml:space="preserve"> </w:t>
      </w:r>
      <w:r>
        <w:rPr>
          <w:rFonts w:ascii="宋体" w:eastAsia="宋体" w:hAnsi="宋体" w:hint="eastAsia"/>
          <w:sz w:val="32"/>
          <w:szCs w:val="32"/>
        </w:rPr>
        <w:t>…</w:t>
      </w:r>
      <w:bookmarkEnd w:id="5"/>
      <w:bookmarkEnd w:id="6"/>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0</w:t>
      </w:r>
    </w:p>
    <w:p w14:paraId="53590FD2"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改革开放持续深化</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1</w:t>
      </w:r>
    </w:p>
    <w:p w14:paraId="61D9B3EC"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第五节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城市品质大幅提升</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2</w:t>
      </w:r>
    </w:p>
    <w:p w14:paraId="53D74BFB"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第六节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乡村振兴扎实推进</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3</w:t>
      </w:r>
    </w:p>
    <w:p w14:paraId="25181BED"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第七节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生态环境显著改善</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4</w:t>
      </w:r>
    </w:p>
    <w:p w14:paraId="184A4D40"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第八节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民生保障更加有力</w:t>
      </w:r>
      <w:r>
        <w:rPr>
          <w:rFonts w:ascii="宋体" w:eastAsia="方正仿宋简体" w:hAnsi="宋体" w:hint="eastAsia"/>
          <w:sz w:val="32"/>
          <w:szCs w:val="32"/>
        </w:rPr>
        <w:t xml:space="preserve"> </w:t>
      </w:r>
      <w:r>
        <w:rPr>
          <w:rFonts w:ascii="宋体" w:eastAsia="宋体" w:hAnsi="宋体" w:hint="eastAsia"/>
          <w:sz w:val="32"/>
          <w:szCs w:val="32"/>
        </w:rPr>
        <w:t>………………</w:t>
      </w:r>
      <w:bookmarkStart w:id="7" w:name="OLE_LINK129"/>
      <w:bookmarkStart w:id="8" w:name="OLE_LINK130"/>
      <w:r>
        <w:rPr>
          <w:rFonts w:ascii="宋体" w:eastAsia="宋体" w:hAnsi="宋体" w:hint="eastAsia"/>
          <w:sz w:val="32"/>
          <w:szCs w:val="32"/>
        </w:rPr>
        <w:t>…</w:t>
      </w:r>
      <w:bookmarkEnd w:id="7"/>
      <w:bookmarkEnd w:id="8"/>
      <w:r>
        <w:rPr>
          <w:rFonts w:ascii="宋体" w:eastAsia="宋体" w:hAnsi="宋体" w:hint="eastAsia"/>
          <w:sz w:val="32"/>
          <w:szCs w:val="32"/>
        </w:rPr>
        <w:t>…………</w:t>
      </w:r>
      <w:bookmarkStart w:id="9" w:name="OLE_LINK124"/>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5</w:t>
      </w:r>
      <w:bookmarkEnd w:id="9"/>
    </w:p>
    <w:p w14:paraId="347DAC33"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第二章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cs="黑体" w:hint="eastAsia"/>
          <w:sz w:val="32"/>
          <w:szCs w:val="96"/>
        </w:rPr>
        <w:t>“十五五”时期的重要地位及面临的发展环境</w:t>
      </w:r>
      <w:r>
        <w:rPr>
          <w:rFonts w:ascii="宋体" w:eastAsia="黑体" w:hAnsi="宋体" w:cs="黑体" w:hint="eastAsia"/>
          <w:sz w:val="32"/>
          <w:szCs w:val="96"/>
        </w:rPr>
        <w:t xml:space="preserve"> </w:t>
      </w:r>
      <w:r>
        <w:rPr>
          <w:rFonts w:ascii="宋体" w:eastAsia="宋体" w:hAnsi="宋体" w:hint="eastAsia"/>
          <w:sz w:val="32"/>
          <w:szCs w:val="32"/>
        </w:rPr>
        <w:t xml:space="preserve">… </w:t>
      </w:r>
      <w:r>
        <w:rPr>
          <w:rFonts w:ascii="宋体" w:eastAsia="方正仿宋简体" w:hAnsi="宋体" w:hint="eastAsia"/>
          <w:sz w:val="32"/>
          <w:szCs w:val="32"/>
        </w:rPr>
        <w:t>1</w:t>
      </w:r>
      <w:r>
        <w:rPr>
          <w:rFonts w:ascii="宋体" w:eastAsia="方正仿宋简体" w:hAnsi="宋体"/>
          <w:sz w:val="32"/>
          <w:szCs w:val="32"/>
        </w:rPr>
        <w:t>7</w:t>
      </w:r>
    </w:p>
    <w:p w14:paraId="5D9BE36A" w14:textId="77777777" w:rsidR="00080503" w:rsidRDefault="003A23BA">
      <w:pPr>
        <w:pStyle w:val="a3"/>
        <w:overflowPunct w:val="0"/>
        <w:spacing w:after="0" w:line="600" w:lineRule="exact"/>
        <w:jc w:val="left"/>
        <w:rPr>
          <w:rFonts w:ascii="宋体" w:eastAsia="黑体" w:hAnsi="宋体" w:cs="黑体"/>
          <w:sz w:val="32"/>
          <w:szCs w:val="96"/>
        </w:rPr>
      </w:pPr>
      <w:r>
        <w:rPr>
          <w:rFonts w:ascii="宋体" w:eastAsia="黑体" w:hAnsi="宋体" w:hint="eastAsia"/>
          <w:sz w:val="32"/>
          <w:szCs w:val="32"/>
        </w:rPr>
        <w:t>第三章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cs="黑体" w:hint="eastAsia"/>
          <w:sz w:val="32"/>
          <w:szCs w:val="96"/>
        </w:rPr>
        <w:t>扛牢省会副中心使命担当</w:t>
      </w:r>
      <w:r>
        <w:rPr>
          <w:rFonts w:ascii="宋体" w:eastAsia="黑体" w:hAnsi="宋体" w:cs="黑体" w:hint="eastAsia"/>
          <w:sz w:val="32"/>
          <w:szCs w:val="96"/>
        </w:rPr>
        <w:t xml:space="preserve"> </w:t>
      </w:r>
      <w:r>
        <w:rPr>
          <w:rFonts w:ascii="宋体" w:eastAsia="黑体" w:hAnsi="宋体" w:cs="黑体"/>
          <w:sz w:val="32"/>
          <w:szCs w:val="96"/>
        </w:rPr>
        <w:t xml:space="preserve"> </w:t>
      </w:r>
      <w:r>
        <w:rPr>
          <w:rFonts w:ascii="宋体" w:eastAsia="黑体" w:hAnsi="宋体" w:cs="黑体" w:hint="eastAsia"/>
          <w:sz w:val="32"/>
          <w:szCs w:val="96"/>
        </w:rPr>
        <w:t>开启钢城现代化建设</w:t>
      </w:r>
    </w:p>
    <w:p w14:paraId="03B8E520" w14:textId="77777777" w:rsidR="00080503" w:rsidRDefault="003A23BA">
      <w:pPr>
        <w:pStyle w:val="a3"/>
        <w:overflowPunct w:val="0"/>
        <w:spacing w:after="0" w:line="600" w:lineRule="exact"/>
        <w:ind w:firstLineChars="400" w:firstLine="1280"/>
        <w:jc w:val="left"/>
        <w:rPr>
          <w:rFonts w:ascii="宋体" w:eastAsia="黑体" w:hAnsi="宋体"/>
          <w:sz w:val="32"/>
          <w:szCs w:val="32"/>
        </w:rPr>
      </w:pPr>
      <w:r>
        <w:rPr>
          <w:rFonts w:ascii="宋体" w:eastAsia="黑体" w:hAnsi="宋体" w:cs="黑体" w:hint="eastAsia"/>
          <w:sz w:val="32"/>
          <w:szCs w:val="96"/>
        </w:rPr>
        <w:t>新征程</w:t>
      </w:r>
      <w:r>
        <w:rPr>
          <w:rFonts w:ascii="宋体" w:eastAsia="黑体" w:hAnsi="宋体" w:cs="黑体" w:hint="eastAsia"/>
          <w:sz w:val="32"/>
          <w:szCs w:val="96"/>
        </w:rPr>
        <w:t xml:space="preserve"> </w:t>
      </w:r>
      <w:bookmarkStart w:id="10" w:name="OLE_LINK133"/>
      <w:r>
        <w:rPr>
          <w:rFonts w:ascii="宋体" w:eastAsia="宋体" w:hAnsi="宋体" w:hint="eastAsia"/>
          <w:sz w:val="32"/>
          <w:szCs w:val="32"/>
        </w:rPr>
        <w:t xml:space="preserve">……………………………………………… </w:t>
      </w:r>
      <w:r>
        <w:rPr>
          <w:rFonts w:ascii="宋体" w:eastAsia="宋体" w:hAnsi="宋体"/>
          <w:sz w:val="32"/>
          <w:szCs w:val="32"/>
        </w:rPr>
        <w:t>20</w:t>
      </w:r>
      <w:bookmarkEnd w:id="10"/>
    </w:p>
    <w:p w14:paraId="6535C819"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指导思想</w:t>
      </w:r>
      <w:bookmarkStart w:id="11" w:name="OLE_LINK132"/>
      <w:bookmarkStart w:id="12" w:name="OLE_LINK131"/>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20</w:t>
      </w:r>
      <w:bookmarkEnd w:id="11"/>
      <w:bookmarkEnd w:id="12"/>
    </w:p>
    <w:p w14:paraId="49EE967C"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基本原则</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20</w:t>
      </w:r>
    </w:p>
    <w:p w14:paraId="01109B5D"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发展目标</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21</w:t>
      </w:r>
    </w:p>
    <w:p w14:paraId="64CFDA6A"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第四章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大力发展特色产业集群</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加快建设现代化</w:t>
      </w:r>
    </w:p>
    <w:p w14:paraId="0A6373B3" w14:textId="77777777" w:rsidR="00080503" w:rsidRDefault="003A23BA">
      <w:pPr>
        <w:pStyle w:val="a3"/>
        <w:overflowPunct w:val="0"/>
        <w:spacing w:after="0" w:line="600" w:lineRule="exact"/>
        <w:ind w:firstLineChars="400" w:firstLine="1280"/>
        <w:jc w:val="left"/>
        <w:rPr>
          <w:rFonts w:ascii="宋体" w:eastAsia="黑体" w:hAnsi="宋体"/>
          <w:sz w:val="32"/>
          <w:szCs w:val="32"/>
        </w:rPr>
      </w:pPr>
      <w:r>
        <w:rPr>
          <w:rFonts w:ascii="宋体" w:eastAsia="黑体" w:hAnsi="宋体" w:hint="eastAsia"/>
          <w:sz w:val="32"/>
          <w:szCs w:val="32"/>
        </w:rPr>
        <w:t>产业体系</w:t>
      </w:r>
      <w:r>
        <w:rPr>
          <w:rFonts w:ascii="宋体" w:eastAsia="黑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24</w:t>
      </w:r>
    </w:p>
    <w:p w14:paraId="69E28ED3"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深入实施工业强区战略</w:t>
      </w:r>
      <w:bookmarkStart w:id="13" w:name="OLE_LINK134"/>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24</w:t>
      </w:r>
      <w:bookmarkEnd w:id="13"/>
    </w:p>
    <w:p w14:paraId="20F22923" w14:textId="77777777" w:rsidR="00080503" w:rsidRDefault="003A23BA">
      <w:pPr>
        <w:pStyle w:val="a3"/>
        <w:tabs>
          <w:tab w:val="left" w:pos="8647"/>
        </w:tabs>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lastRenderedPageBreak/>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促进服务业优质高效发展</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30</w:t>
      </w:r>
    </w:p>
    <w:p w14:paraId="57D0FB0B" w14:textId="77777777" w:rsidR="00080503" w:rsidRDefault="003A23BA">
      <w:pPr>
        <w:pStyle w:val="a3"/>
        <w:tabs>
          <w:tab w:val="left" w:pos="8647"/>
        </w:tabs>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优化产业发展布局</w:t>
      </w:r>
      <w:r>
        <w:rPr>
          <w:rFonts w:ascii="宋体" w:eastAsia="宋体" w:hAnsi="宋体" w:hint="eastAsia"/>
          <w:sz w:val="32"/>
          <w:szCs w:val="32"/>
        </w:rPr>
        <w:t xml:space="preserve"> ………………</w:t>
      </w:r>
      <w:bookmarkStart w:id="14" w:name="OLE_LINK135"/>
      <w:r>
        <w:rPr>
          <w:rFonts w:ascii="宋体" w:eastAsia="宋体" w:hAnsi="宋体" w:hint="eastAsia"/>
          <w:sz w:val="32"/>
          <w:szCs w:val="32"/>
        </w:rPr>
        <w:t xml:space="preserve">…………… </w:t>
      </w:r>
      <w:r>
        <w:rPr>
          <w:rFonts w:ascii="宋体" w:eastAsia="宋体" w:hAnsi="宋体"/>
          <w:sz w:val="32"/>
          <w:szCs w:val="32"/>
        </w:rPr>
        <w:t>33</w:t>
      </w:r>
      <w:bookmarkEnd w:id="14"/>
    </w:p>
    <w:p w14:paraId="77D73D15"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第五章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强化科技创新支撑</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引领发展新质生产力</w:t>
      </w:r>
      <w:r>
        <w:rPr>
          <w:rFonts w:ascii="宋体" w:eastAsia="黑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34</w:t>
      </w:r>
    </w:p>
    <w:p w14:paraId="12848F1D"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强化企业创新主体地位</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34</w:t>
      </w:r>
    </w:p>
    <w:p w14:paraId="69B0B4CF"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提高科技供给能力</w:t>
      </w:r>
      <w:bookmarkStart w:id="15" w:name="OLE_LINK136"/>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35</w:t>
      </w:r>
      <w:bookmarkEnd w:id="15"/>
    </w:p>
    <w:p w14:paraId="7189AFD4"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建设创新人才高地</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38</w:t>
      </w:r>
    </w:p>
    <w:p w14:paraId="1D0E5B4B"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营造良好创新创业生态</w:t>
      </w:r>
      <w:r>
        <w:rPr>
          <w:rFonts w:ascii="宋体" w:eastAsia="方正仿宋简体" w:hAnsi="宋体" w:hint="eastAsia"/>
          <w:sz w:val="32"/>
          <w:szCs w:val="32"/>
        </w:rPr>
        <w:t xml:space="preserve"> </w:t>
      </w:r>
      <w:r>
        <w:rPr>
          <w:rFonts w:ascii="宋体" w:eastAsia="宋体" w:hAnsi="宋体" w:hint="eastAsia"/>
          <w:kern w:val="0"/>
          <w:sz w:val="32"/>
          <w:szCs w:val="32"/>
        </w:rPr>
        <w:t>……………………… 3</w:t>
      </w:r>
      <w:r>
        <w:rPr>
          <w:rFonts w:ascii="宋体" w:eastAsia="宋体" w:hAnsi="宋体"/>
          <w:kern w:val="0"/>
          <w:sz w:val="32"/>
          <w:szCs w:val="32"/>
        </w:rPr>
        <w:t>9</w:t>
      </w:r>
    </w:p>
    <w:p w14:paraId="2B1A012E"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第六章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深入实施扩大内需战略</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促进消费和投资</w:t>
      </w:r>
    </w:p>
    <w:p w14:paraId="1C1FDAF7" w14:textId="77777777" w:rsidR="00080503" w:rsidRDefault="003A23BA">
      <w:pPr>
        <w:pStyle w:val="a3"/>
        <w:overflowPunct w:val="0"/>
        <w:spacing w:after="0" w:line="600" w:lineRule="exact"/>
        <w:ind w:firstLineChars="400" w:firstLine="1280"/>
        <w:jc w:val="left"/>
        <w:rPr>
          <w:rFonts w:ascii="宋体" w:eastAsia="黑体" w:hAnsi="宋体"/>
          <w:sz w:val="32"/>
          <w:szCs w:val="32"/>
        </w:rPr>
      </w:pPr>
      <w:r>
        <w:rPr>
          <w:rFonts w:ascii="宋体" w:eastAsia="黑体" w:hAnsi="宋体" w:hint="eastAsia"/>
          <w:sz w:val="32"/>
          <w:szCs w:val="32"/>
        </w:rPr>
        <w:t>提质增效</w:t>
      </w:r>
      <w:r>
        <w:rPr>
          <w:rFonts w:ascii="宋体" w:eastAsia="黑体" w:hAnsi="宋体" w:hint="eastAsia"/>
          <w:sz w:val="32"/>
          <w:szCs w:val="32"/>
        </w:rPr>
        <w:t xml:space="preserve"> </w:t>
      </w:r>
      <w:r>
        <w:rPr>
          <w:rFonts w:ascii="宋体" w:eastAsia="宋体" w:hAnsi="宋体" w:hint="eastAsia"/>
          <w:sz w:val="32"/>
          <w:szCs w:val="32"/>
        </w:rPr>
        <w:t>………………</w:t>
      </w:r>
      <w:bookmarkStart w:id="16" w:name="OLE_LINK137"/>
      <w:bookmarkStart w:id="17" w:name="OLE_LINK138"/>
      <w:r>
        <w:rPr>
          <w:rFonts w:ascii="宋体" w:eastAsia="宋体" w:hAnsi="宋体" w:hint="eastAsia"/>
          <w:sz w:val="32"/>
          <w:szCs w:val="32"/>
        </w:rPr>
        <w:t xml:space="preserve">…………………………… </w:t>
      </w:r>
      <w:r>
        <w:rPr>
          <w:rFonts w:ascii="宋体" w:eastAsia="宋体" w:hAnsi="宋体"/>
          <w:sz w:val="32"/>
          <w:szCs w:val="32"/>
        </w:rPr>
        <w:t>42</w:t>
      </w:r>
      <w:bookmarkEnd w:id="16"/>
      <w:bookmarkEnd w:id="17"/>
    </w:p>
    <w:p w14:paraId="016295AF"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加快推动消费提质升级</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42</w:t>
      </w:r>
    </w:p>
    <w:p w14:paraId="4495D543"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着力扩大有效投资</w:t>
      </w:r>
      <w:r>
        <w:rPr>
          <w:rFonts w:ascii="宋体" w:eastAsia="方正仿宋简体" w:hAnsi="宋体" w:hint="eastAsia"/>
          <w:sz w:val="32"/>
          <w:szCs w:val="32"/>
        </w:rPr>
        <w:t xml:space="preserve"> </w:t>
      </w:r>
      <w:r>
        <w:rPr>
          <w:rFonts w:ascii="宋体" w:eastAsia="宋体" w:hAnsi="宋体" w:hint="eastAsia"/>
          <w:sz w:val="32"/>
          <w:szCs w:val="32"/>
        </w:rPr>
        <w:t xml:space="preserve">…………………………… </w:t>
      </w:r>
      <w:r>
        <w:rPr>
          <w:rFonts w:ascii="宋体" w:eastAsia="宋体" w:hAnsi="宋体"/>
          <w:sz w:val="32"/>
          <w:szCs w:val="32"/>
        </w:rPr>
        <w:t>45</w:t>
      </w:r>
    </w:p>
    <w:p w14:paraId="04B7552E"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强化基础设施支撑作用</w:t>
      </w:r>
      <w:r>
        <w:rPr>
          <w:rFonts w:ascii="宋体" w:eastAsia="方正仿宋简体" w:hAnsi="宋体" w:hint="eastAsia"/>
          <w:sz w:val="32"/>
          <w:szCs w:val="32"/>
        </w:rPr>
        <w:t xml:space="preserve"> </w:t>
      </w:r>
      <w:r>
        <w:rPr>
          <w:rFonts w:ascii="宋体" w:eastAsia="宋体" w:hAnsi="宋体" w:hint="eastAsia"/>
          <w:kern w:val="0"/>
          <w:sz w:val="32"/>
          <w:szCs w:val="32"/>
        </w:rPr>
        <w:t>……………………… 4</w:t>
      </w:r>
      <w:r>
        <w:rPr>
          <w:rFonts w:ascii="宋体" w:eastAsia="宋体" w:hAnsi="宋体"/>
          <w:kern w:val="0"/>
          <w:sz w:val="32"/>
          <w:szCs w:val="32"/>
        </w:rPr>
        <w:t>8</w:t>
      </w:r>
    </w:p>
    <w:p w14:paraId="52C5961C"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第七章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进一步全面深化改革开放</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持续增强发展动力</w:t>
      </w:r>
      <w:r>
        <w:rPr>
          <w:rFonts w:ascii="宋体" w:eastAsia="黑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51</w:t>
      </w:r>
    </w:p>
    <w:p w14:paraId="4A9F3935"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加快服务和融入全国统一大市场</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51</w:t>
      </w:r>
    </w:p>
    <w:p w14:paraId="31A2992B"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充分激发市场主体活力</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53</w:t>
      </w:r>
    </w:p>
    <w:p w14:paraId="1BAE9192"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统筹突破关键领域改革</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54</w:t>
      </w:r>
    </w:p>
    <w:p w14:paraId="05CAD23A"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构建全方位开放新格局</w:t>
      </w:r>
      <w:r>
        <w:rPr>
          <w:rFonts w:ascii="宋体" w:eastAsia="方正仿宋简体" w:hAnsi="宋体" w:hint="eastAsia"/>
          <w:sz w:val="32"/>
          <w:szCs w:val="32"/>
        </w:rPr>
        <w:t xml:space="preserve"> </w:t>
      </w:r>
      <w:bookmarkStart w:id="18" w:name="OLE_LINK140"/>
      <w:bookmarkStart w:id="19" w:name="OLE_LINK139"/>
      <w:bookmarkStart w:id="20" w:name="OLE_LINK141"/>
      <w:r>
        <w:rPr>
          <w:rFonts w:ascii="宋体" w:eastAsia="宋体" w:hAnsi="宋体" w:hint="eastAsia"/>
          <w:kern w:val="0"/>
          <w:sz w:val="32"/>
          <w:szCs w:val="32"/>
        </w:rPr>
        <w:t xml:space="preserve">……………………… </w:t>
      </w:r>
      <w:r>
        <w:rPr>
          <w:rFonts w:ascii="宋体" w:eastAsia="宋体" w:hAnsi="宋体"/>
          <w:kern w:val="0"/>
          <w:sz w:val="32"/>
          <w:szCs w:val="32"/>
        </w:rPr>
        <w:t>56</w:t>
      </w:r>
      <w:bookmarkEnd w:id="18"/>
      <w:bookmarkEnd w:id="19"/>
      <w:bookmarkEnd w:id="20"/>
    </w:p>
    <w:p w14:paraId="452489F2"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第八章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实施新型城镇化战略</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以城乡融合带动乡村</w:t>
      </w:r>
    </w:p>
    <w:p w14:paraId="731609FA" w14:textId="77777777" w:rsidR="00080503" w:rsidRDefault="003A23BA">
      <w:pPr>
        <w:pStyle w:val="a3"/>
        <w:overflowPunct w:val="0"/>
        <w:spacing w:after="0" w:line="600" w:lineRule="exact"/>
        <w:ind w:firstLineChars="400" w:firstLine="1280"/>
        <w:jc w:val="left"/>
        <w:rPr>
          <w:rFonts w:ascii="宋体" w:eastAsia="黑体" w:hAnsi="宋体"/>
          <w:sz w:val="32"/>
          <w:szCs w:val="32"/>
        </w:rPr>
      </w:pPr>
      <w:r>
        <w:rPr>
          <w:rFonts w:ascii="宋体" w:eastAsia="黑体" w:hAnsi="宋体" w:hint="eastAsia"/>
          <w:sz w:val="32"/>
          <w:szCs w:val="32"/>
        </w:rPr>
        <w:t>全面振兴</w:t>
      </w:r>
      <w:r>
        <w:rPr>
          <w:rFonts w:ascii="宋体" w:eastAsia="黑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58</w:t>
      </w:r>
    </w:p>
    <w:p w14:paraId="2BB77FFE"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提升城市内涵品质</w:t>
      </w:r>
      <w:r>
        <w:rPr>
          <w:rFonts w:ascii="宋体" w:eastAsia="方正仿宋简体" w:hAnsi="宋体" w:hint="eastAsia"/>
          <w:sz w:val="32"/>
          <w:szCs w:val="32"/>
        </w:rPr>
        <w:t xml:space="preserve"> </w:t>
      </w:r>
      <w:bookmarkStart w:id="21" w:name="OLE_LINK142"/>
      <w:r>
        <w:rPr>
          <w:rFonts w:ascii="宋体" w:eastAsia="宋体" w:hAnsi="宋体" w:hint="eastAsia"/>
          <w:kern w:val="0"/>
          <w:sz w:val="32"/>
          <w:szCs w:val="32"/>
        </w:rPr>
        <w:t xml:space="preserve">…………………………… </w:t>
      </w:r>
      <w:r>
        <w:rPr>
          <w:rFonts w:ascii="宋体" w:eastAsia="宋体" w:hAnsi="宋体"/>
          <w:kern w:val="0"/>
          <w:sz w:val="32"/>
          <w:szCs w:val="32"/>
        </w:rPr>
        <w:t>58</w:t>
      </w:r>
      <w:bookmarkEnd w:id="21"/>
    </w:p>
    <w:p w14:paraId="110A2657"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推动区域协同发展</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60</w:t>
      </w:r>
    </w:p>
    <w:p w14:paraId="0D1DC519" w14:textId="77777777" w:rsidR="00080503" w:rsidRDefault="003A23BA">
      <w:pPr>
        <w:pStyle w:val="a3"/>
        <w:tabs>
          <w:tab w:val="left" w:pos="8647"/>
        </w:tabs>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lastRenderedPageBreak/>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全面推进乡村振兴</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62</w:t>
      </w:r>
    </w:p>
    <w:p w14:paraId="4F05F0B4"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第九章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全面推进绿色低碳转型</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打造“山水之中、绿色</w:t>
      </w:r>
    </w:p>
    <w:p w14:paraId="20549831" w14:textId="77777777" w:rsidR="00080503" w:rsidRDefault="003A23BA">
      <w:pPr>
        <w:pStyle w:val="a3"/>
        <w:overflowPunct w:val="0"/>
        <w:spacing w:after="0" w:line="600" w:lineRule="exact"/>
        <w:ind w:firstLineChars="400" w:firstLine="1280"/>
        <w:jc w:val="left"/>
        <w:rPr>
          <w:rFonts w:ascii="宋体" w:eastAsia="黑体" w:hAnsi="宋体"/>
          <w:sz w:val="32"/>
          <w:szCs w:val="32"/>
        </w:rPr>
      </w:pPr>
      <w:r>
        <w:rPr>
          <w:rFonts w:ascii="宋体" w:eastAsia="黑体" w:hAnsi="宋体" w:hint="eastAsia"/>
          <w:sz w:val="32"/>
          <w:szCs w:val="32"/>
        </w:rPr>
        <w:t>钢城”</w:t>
      </w:r>
      <w:r>
        <w:rPr>
          <w:rFonts w:ascii="宋体" w:eastAsia="黑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6</w:t>
      </w:r>
      <w:r>
        <w:rPr>
          <w:rFonts w:ascii="宋体" w:eastAsia="宋体" w:hAnsi="宋体" w:hint="eastAsia"/>
          <w:kern w:val="0"/>
          <w:sz w:val="32"/>
          <w:szCs w:val="32"/>
        </w:rPr>
        <w:t>8</w:t>
      </w:r>
    </w:p>
    <w:p w14:paraId="754D25A7"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积极稳妥推进和实现碳达峰</w:t>
      </w:r>
      <w:r>
        <w:rPr>
          <w:rFonts w:ascii="宋体" w:eastAsia="方正仿宋简体" w:hAnsi="宋体" w:hint="eastAsia"/>
          <w:sz w:val="32"/>
          <w:szCs w:val="32"/>
        </w:rPr>
        <w:t xml:space="preserve"> </w:t>
      </w:r>
      <w:r>
        <w:rPr>
          <w:rFonts w:ascii="宋体" w:eastAsia="宋体" w:hAnsi="宋体" w:hint="eastAsia"/>
          <w:kern w:val="0"/>
          <w:sz w:val="32"/>
          <w:szCs w:val="32"/>
        </w:rPr>
        <w:t>……</w:t>
      </w:r>
      <w:bookmarkStart w:id="22" w:name="OLE_LINK143"/>
      <w:bookmarkStart w:id="23" w:name="OLE_LINK144"/>
      <w:r>
        <w:rPr>
          <w:rFonts w:ascii="宋体" w:eastAsia="宋体" w:hAnsi="宋体" w:hint="eastAsia"/>
          <w:kern w:val="0"/>
          <w:sz w:val="32"/>
          <w:szCs w:val="32"/>
        </w:rPr>
        <w:t xml:space="preserve">…………… </w:t>
      </w:r>
      <w:r>
        <w:rPr>
          <w:rFonts w:ascii="宋体" w:eastAsia="宋体" w:hAnsi="宋体"/>
          <w:kern w:val="0"/>
          <w:sz w:val="32"/>
          <w:szCs w:val="32"/>
        </w:rPr>
        <w:t>6</w:t>
      </w:r>
      <w:r>
        <w:rPr>
          <w:rFonts w:ascii="宋体" w:eastAsia="宋体" w:hAnsi="宋体" w:hint="eastAsia"/>
          <w:kern w:val="0"/>
          <w:sz w:val="32"/>
          <w:szCs w:val="32"/>
        </w:rPr>
        <w:t>8</w:t>
      </w:r>
      <w:bookmarkEnd w:id="22"/>
      <w:bookmarkEnd w:id="23"/>
    </w:p>
    <w:p w14:paraId="49152016"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构建清洁能源和能源安全保障体系</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69</w:t>
      </w:r>
    </w:p>
    <w:p w14:paraId="4A9F4550"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持续深入推进污染防治攻坚</w:t>
      </w:r>
      <w:r>
        <w:rPr>
          <w:rFonts w:ascii="宋体" w:eastAsia="方正仿宋简体" w:hAnsi="宋体" w:hint="eastAsia"/>
          <w:sz w:val="32"/>
          <w:szCs w:val="32"/>
        </w:rPr>
        <w:t xml:space="preserve"> </w:t>
      </w:r>
      <w:bookmarkStart w:id="24" w:name="OLE_LINK145"/>
      <w:bookmarkStart w:id="25" w:name="OLE_LINK146"/>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71</w:t>
      </w:r>
      <w:bookmarkEnd w:id="24"/>
      <w:bookmarkEnd w:id="25"/>
    </w:p>
    <w:p w14:paraId="73F2735C"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加强生态系统保护修复</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w:t>
      </w:r>
      <w:bookmarkStart w:id="26" w:name="OLE_LINK147"/>
      <w:bookmarkStart w:id="27" w:name="OLE_LINK148"/>
      <w:r>
        <w:rPr>
          <w:rFonts w:ascii="宋体" w:eastAsia="宋体" w:hAnsi="宋体" w:hint="eastAsia"/>
          <w:kern w:val="0"/>
          <w:sz w:val="32"/>
          <w:szCs w:val="32"/>
        </w:rPr>
        <w:t xml:space="preserve">…… </w:t>
      </w:r>
      <w:r>
        <w:rPr>
          <w:rFonts w:ascii="宋体" w:eastAsia="宋体" w:hAnsi="宋体"/>
          <w:kern w:val="0"/>
          <w:sz w:val="32"/>
          <w:szCs w:val="32"/>
        </w:rPr>
        <w:t>74</w:t>
      </w:r>
      <w:bookmarkEnd w:id="26"/>
      <w:bookmarkEnd w:id="27"/>
    </w:p>
    <w:p w14:paraId="65B37C5A"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第十章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推动文化传承发展</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激发文化创新创造活力</w:t>
      </w:r>
      <w:r>
        <w:rPr>
          <w:rFonts w:ascii="宋体" w:eastAsia="黑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76</w:t>
      </w:r>
    </w:p>
    <w:p w14:paraId="41897DB7"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弘扬和践行社会主义核心价值观</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76</w:t>
      </w:r>
    </w:p>
    <w:p w14:paraId="00FDA604"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完善现代公共文化服务体系</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77</w:t>
      </w:r>
    </w:p>
    <w:p w14:paraId="03097B53"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加强优秀传统文化保护传承</w:t>
      </w:r>
      <w:r>
        <w:rPr>
          <w:rFonts w:ascii="宋体" w:eastAsia="方正仿宋简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77</w:t>
      </w:r>
    </w:p>
    <w:p w14:paraId="0CDDEA51"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推进文旅商体融合发展</w:t>
      </w:r>
      <w:r>
        <w:rPr>
          <w:rFonts w:ascii="宋体" w:eastAsia="方正仿宋简体" w:hAnsi="宋体" w:hint="eastAsia"/>
          <w:sz w:val="32"/>
          <w:szCs w:val="32"/>
        </w:rPr>
        <w:t xml:space="preserve"> </w:t>
      </w:r>
      <w:r>
        <w:rPr>
          <w:rFonts w:ascii="宋体" w:eastAsia="宋体" w:hAnsi="宋体" w:hint="eastAsia"/>
          <w:kern w:val="0"/>
          <w:sz w:val="32"/>
          <w:szCs w:val="32"/>
        </w:rPr>
        <w:t>…………………</w:t>
      </w:r>
      <w:bookmarkStart w:id="28" w:name="OLE_LINK149"/>
      <w:bookmarkStart w:id="29" w:name="OLE_LINK150"/>
      <w:r>
        <w:rPr>
          <w:rFonts w:ascii="宋体" w:eastAsia="宋体" w:hAnsi="宋体" w:hint="eastAsia"/>
          <w:kern w:val="0"/>
          <w:sz w:val="32"/>
          <w:szCs w:val="32"/>
        </w:rPr>
        <w:t xml:space="preserve">…… </w:t>
      </w:r>
      <w:r>
        <w:rPr>
          <w:rFonts w:ascii="宋体" w:eastAsia="宋体" w:hAnsi="宋体"/>
          <w:kern w:val="0"/>
          <w:sz w:val="32"/>
          <w:szCs w:val="32"/>
        </w:rPr>
        <w:t>78</w:t>
      </w:r>
      <w:bookmarkEnd w:id="28"/>
      <w:bookmarkEnd w:id="29"/>
    </w:p>
    <w:p w14:paraId="4E9E2B62"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第十一章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着力保障和改善民生</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扎实推进共同富裕</w:t>
      </w:r>
      <w:r>
        <w:rPr>
          <w:rFonts w:ascii="宋体" w:eastAsia="黑体" w:hAnsi="宋体" w:hint="eastAsia"/>
          <w:sz w:val="32"/>
          <w:szCs w:val="32"/>
        </w:rPr>
        <w:t xml:space="preserve"> </w:t>
      </w:r>
      <w:r>
        <w:rPr>
          <w:rFonts w:ascii="宋体" w:eastAsia="宋体" w:hAnsi="宋体" w:hint="eastAsia"/>
          <w:kern w:val="0"/>
          <w:sz w:val="32"/>
          <w:szCs w:val="32"/>
        </w:rPr>
        <w:t xml:space="preserve">…… </w:t>
      </w:r>
      <w:r>
        <w:rPr>
          <w:rFonts w:ascii="宋体" w:eastAsia="宋体" w:hAnsi="宋体"/>
          <w:kern w:val="0"/>
          <w:sz w:val="32"/>
          <w:szCs w:val="32"/>
        </w:rPr>
        <w:t>80</w:t>
      </w:r>
    </w:p>
    <w:p w14:paraId="1F88C9C8"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扎实推进稳就业促增收</w:t>
      </w:r>
      <w:bookmarkStart w:id="30" w:name="OLE_LINK151"/>
      <w:bookmarkStart w:id="31" w:name="OLE_LINK152"/>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80</w:t>
      </w:r>
      <w:bookmarkEnd w:id="30"/>
      <w:bookmarkEnd w:id="31"/>
    </w:p>
    <w:p w14:paraId="20A04726"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构建优质均衡教育体系</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81</w:t>
      </w:r>
    </w:p>
    <w:p w14:paraId="5D47B7AC"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加快建设健康钢城</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84</w:t>
      </w:r>
    </w:p>
    <w:p w14:paraId="729D0DA5"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健全社会保障体系</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85</w:t>
      </w:r>
    </w:p>
    <w:p w14:paraId="5D1F149A"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第五节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促进人口高质量发展</w:t>
      </w:r>
      <w:r>
        <w:rPr>
          <w:rFonts w:ascii="宋体" w:eastAsia="方正仿宋简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87</w:t>
      </w:r>
    </w:p>
    <w:p w14:paraId="5604121A"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第十二章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扎实推进社会治理现代化</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建设更高水平</w:t>
      </w:r>
    </w:p>
    <w:p w14:paraId="68BFA189" w14:textId="77777777" w:rsidR="00080503" w:rsidRDefault="003A23BA">
      <w:pPr>
        <w:pStyle w:val="a3"/>
        <w:overflowPunct w:val="0"/>
        <w:spacing w:after="0" w:line="600" w:lineRule="exact"/>
        <w:ind w:firstLineChars="500" w:firstLine="1600"/>
        <w:jc w:val="left"/>
        <w:rPr>
          <w:rFonts w:ascii="宋体" w:eastAsia="黑体" w:hAnsi="宋体"/>
          <w:sz w:val="32"/>
          <w:szCs w:val="32"/>
        </w:rPr>
      </w:pPr>
      <w:r>
        <w:rPr>
          <w:rFonts w:ascii="宋体" w:eastAsia="黑体" w:hAnsi="宋体" w:hint="eastAsia"/>
          <w:sz w:val="32"/>
          <w:szCs w:val="32"/>
        </w:rPr>
        <w:t>平安钢城</w:t>
      </w:r>
      <w:r>
        <w:rPr>
          <w:rFonts w:ascii="宋体" w:eastAsia="黑体" w:hAnsi="宋体" w:hint="eastAsia"/>
          <w:sz w:val="32"/>
          <w:szCs w:val="32"/>
        </w:rPr>
        <w:t xml:space="preserve"> </w:t>
      </w:r>
      <w:r>
        <w:rPr>
          <w:rFonts w:ascii="宋体" w:eastAsia="方正仿宋简体" w:hAnsi="宋体" w:hint="eastAsia"/>
          <w:sz w:val="32"/>
          <w:szCs w:val="32"/>
        </w:rPr>
        <w:t>……………………………………</w:t>
      </w:r>
      <w:r>
        <w:rPr>
          <w:rFonts w:ascii="宋体" w:eastAsia="宋体" w:hAnsi="宋体" w:hint="eastAsia"/>
          <w:kern w:val="0"/>
          <w:sz w:val="32"/>
          <w:szCs w:val="32"/>
        </w:rPr>
        <w:t xml:space="preserve">…… </w:t>
      </w:r>
      <w:r>
        <w:rPr>
          <w:rFonts w:ascii="宋体" w:eastAsia="宋体" w:hAnsi="宋体"/>
          <w:kern w:val="0"/>
          <w:sz w:val="32"/>
          <w:szCs w:val="32"/>
        </w:rPr>
        <w:t>89</w:t>
      </w:r>
    </w:p>
    <w:p w14:paraId="6535B005"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加强民主法治保障</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8</w:t>
      </w:r>
      <w:r>
        <w:rPr>
          <w:rFonts w:ascii="宋体" w:eastAsia="宋体" w:hAnsi="宋体"/>
          <w:kern w:val="0"/>
          <w:sz w:val="32"/>
          <w:szCs w:val="32"/>
        </w:rPr>
        <w:t>9</w:t>
      </w:r>
    </w:p>
    <w:p w14:paraId="51956BD4" w14:textId="77777777" w:rsidR="00080503" w:rsidRDefault="003A23BA">
      <w:pPr>
        <w:pStyle w:val="a3"/>
        <w:tabs>
          <w:tab w:val="left" w:pos="8505"/>
        </w:tabs>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lastRenderedPageBreak/>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守牢重点领域安全底线</w:t>
      </w:r>
      <w:r>
        <w:rPr>
          <w:rFonts w:ascii="宋体" w:eastAsia="方正仿宋简体" w:hAnsi="宋体" w:hint="eastAsia"/>
          <w:sz w:val="32"/>
          <w:szCs w:val="32"/>
        </w:rPr>
        <w:t xml:space="preserve"> </w:t>
      </w:r>
      <w:bookmarkStart w:id="32" w:name="OLE_LINK153"/>
      <w:bookmarkStart w:id="33" w:name="OLE_LINK154"/>
      <w:r>
        <w:rPr>
          <w:rFonts w:ascii="宋体" w:eastAsia="方正仿宋简体" w:hAnsi="宋体" w:hint="eastAsia"/>
          <w:kern w:val="0"/>
          <w:sz w:val="32"/>
          <w:szCs w:val="32"/>
        </w:rPr>
        <w:t>…………………</w:t>
      </w:r>
      <w:r>
        <w:rPr>
          <w:rFonts w:ascii="宋体" w:eastAsia="宋体" w:hAnsi="宋体" w:hint="eastAsia"/>
          <w:kern w:val="0"/>
          <w:sz w:val="32"/>
          <w:szCs w:val="32"/>
        </w:rPr>
        <w:t xml:space="preserve">…… </w:t>
      </w:r>
      <w:r>
        <w:rPr>
          <w:rFonts w:ascii="宋体" w:eastAsia="宋体" w:hAnsi="宋体"/>
          <w:kern w:val="0"/>
          <w:sz w:val="32"/>
          <w:szCs w:val="32"/>
        </w:rPr>
        <w:t>90</w:t>
      </w:r>
      <w:bookmarkEnd w:id="32"/>
      <w:bookmarkEnd w:id="33"/>
    </w:p>
    <w:p w14:paraId="239CD72D"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全面提升基层治理能力</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xml:space="preserve">…… </w:t>
      </w:r>
      <w:r>
        <w:rPr>
          <w:rFonts w:ascii="宋体" w:eastAsia="宋体" w:hAnsi="宋体"/>
          <w:kern w:val="0"/>
          <w:sz w:val="32"/>
          <w:szCs w:val="32"/>
        </w:rPr>
        <w:t>93</w:t>
      </w:r>
    </w:p>
    <w:p w14:paraId="37EDE30C" w14:textId="77777777" w:rsidR="00080503" w:rsidRDefault="003A23BA">
      <w:pPr>
        <w:pStyle w:val="a3"/>
        <w:overflowPunct w:val="0"/>
        <w:spacing w:after="0" w:line="600" w:lineRule="exact"/>
        <w:jc w:val="left"/>
        <w:rPr>
          <w:rFonts w:ascii="宋体" w:eastAsia="黑体" w:hAnsi="宋体"/>
          <w:sz w:val="32"/>
          <w:szCs w:val="32"/>
        </w:rPr>
      </w:pPr>
      <w:r>
        <w:rPr>
          <w:rFonts w:ascii="宋体" w:eastAsia="黑体" w:hAnsi="宋体" w:hint="eastAsia"/>
          <w:sz w:val="32"/>
          <w:szCs w:val="32"/>
        </w:rPr>
        <w:t>第十三章</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hint="eastAsia"/>
          <w:sz w:val="32"/>
          <w:szCs w:val="32"/>
        </w:rPr>
        <w:t>保障措施</w:t>
      </w:r>
      <w:r>
        <w:rPr>
          <w:rFonts w:ascii="宋体" w:eastAsia="黑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9</w:t>
      </w:r>
      <w:r>
        <w:rPr>
          <w:rFonts w:ascii="宋体" w:eastAsia="宋体" w:hAnsi="宋体"/>
          <w:kern w:val="0"/>
          <w:sz w:val="32"/>
          <w:szCs w:val="32"/>
        </w:rPr>
        <w:t>5</w:t>
      </w:r>
    </w:p>
    <w:p w14:paraId="60A20B8F"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第一节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加强党的全面领导</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9</w:t>
      </w:r>
      <w:r>
        <w:rPr>
          <w:rFonts w:ascii="宋体" w:eastAsia="宋体" w:hAnsi="宋体"/>
          <w:kern w:val="0"/>
          <w:sz w:val="32"/>
          <w:szCs w:val="32"/>
        </w:rPr>
        <w:t>5</w:t>
      </w:r>
    </w:p>
    <w:p w14:paraId="6B704FB5"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第二节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健全规划实施机制</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9</w:t>
      </w:r>
      <w:r>
        <w:rPr>
          <w:rFonts w:ascii="宋体" w:eastAsia="宋体" w:hAnsi="宋体"/>
          <w:kern w:val="0"/>
          <w:sz w:val="32"/>
          <w:szCs w:val="32"/>
        </w:rPr>
        <w:t>5</w:t>
      </w:r>
    </w:p>
    <w:p w14:paraId="64016076"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第三节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强化政策支撑保障</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9</w:t>
      </w:r>
      <w:r>
        <w:rPr>
          <w:rFonts w:ascii="宋体" w:eastAsia="宋体" w:hAnsi="宋体"/>
          <w:kern w:val="0"/>
          <w:sz w:val="32"/>
          <w:szCs w:val="32"/>
        </w:rPr>
        <w:t>6</w:t>
      </w:r>
    </w:p>
    <w:p w14:paraId="4561D08F" w14:textId="77777777" w:rsidR="00080503" w:rsidRDefault="003A23BA">
      <w:pPr>
        <w:pStyle w:val="a3"/>
        <w:overflowPunct w:val="0"/>
        <w:spacing w:after="0" w:line="600" w:lineRule="exact"/>
        <w:ind w:firstLine="645"/>
        <w:jc w:val="left"/>
        <w:rPr>
          <w:rFonts w:ascii="宋体" w:eastAsia="方正仿宋简体" w:hAnsi="宋体"/>
          <w:sz w:val="32"/>
          <w:szCs w:val="32"/>
        </w:rPr>
      </w:pPr>
      <w:r>
        <w:rPr>
          <w:rFonts w:ascii="宋体" w:eastAsia="方正仿宋简体" w:hAnsi="宋体" w:hint="eastAsia"/>
          <w:sz w:val="32"/>
          <w:szCs w:val="32"/>
        </w:rPr>
        <w:t>第四节</w:t>
      </w:r>
      <w:r>
        <w:rPr>
          <w:rFonts w:ascii="宋体" w:eastAsia="方正仿宋简体" w:hAnsi="宋体" w:hint="eastAsia"/>
          <w:sz w:val="32"/>
          <w:szCs w:val="32"/>
        </w:rPr>
        <w:t xml:space="preserve"> </w:t>
      </w:r>
      <w:r>
        <w:rPr>
          <w:rFonts w:ascii="宋体" w:eastAsia="方正仿宋简体" w:hAnsi="宋体"/>
          <w:sz w:val="32"/>
          <w:szCs w:val="32"/>
        </w:rPr>
        <w:t xml:space="preserve"> </w:t>
      </w:r>
      <w:r>
        <w:rPr>
          <w:rFonts w:ascii="宋体" w:eastAsia="方正仿宋简体" w:hAnsi="宋体" w:hint="eastAsia"/>
          <w:sz w:val="32"/>
          <w:szCs w:val="32"/>
        </w:rPr>
        <w:t>动员人民广泛参与</w:t>
      </w:r>
      <w:r>
        <w:rPr>
          <w:rFonts w:ascii="宋体" w:eastAsia="方正仿宋简体" w:hAnsi="宋体" w:hint="eastAsia"/>
          <w:sz w:val="32"/>
          <w:szCs w:val="32"/>
        </w:rPr>
        <w:t xml:space="preserve"> </w:t>
      </w:r>
      <w:r>
        <w:rPr>
          <w:rFonts w:ascii="宋体" w:eastAsia="方正仿宋简体" w:hAnsi="宋体" w:hint="eastAsia"/>
          <w:kern w:val="0"/>
          <w:sz w:val="32"/>
          <w:szCs w:val="32"/>
        </w:rPr>
        <w:t>………………………</w:t>
      </w:r>
      <w:r>
        <w:rPr>
          <w:rFonts w:ascii="宋体" w:eastAsia="宋体" w:hAnsi="宋体" w:hint="eastAsia"/>
          <w:kern w:val="0"/>
          <w:sz w:val="32"/>
          <w:szCs w:val="32"/>
        </w:rPr>
        <w:t>…… 9</w:t>
      </w:r>
      <w:r>
        <w:rPr>
          <w:rFonts w:ascii="宋体" w:eastAsia="宋体" w:hAnsi="宋体"/>
          <w:kern w:val="0"/>
          <w:sz w:val="32"/>
          <w:szCs w:val="32"/>
        </w:rPr>
        <w:t>6</w:t>
      </w:r>
    </w:p>
    <w:p w14:paraId="2659031B" w14:textId="77777777" w:rsidR="00080503" w:rsidRDefault="00080503">
      <w:pPr>
        <w:pStyle w:val="a3"/>
        <w:overflowPunct w:val="0"/>
        <w:spacing w:after="0" w:line="600" w:lineRule="exact"/>
        <w:ind w:firstLine="645"/>
        <w:rPr>
          <w:rFonts w:ascii="宋体" w:eastAsia="方正仿宋简体" w:hAnsi="宋体"/>
          <w:sz w:val="32"/>
          <w:szCs w:val="32"/>
        </w:rPr>
      </w:pPr>
    </w:p>
    <w:p w14:paraId="087DCA83" w14:textId="77777777" w:rsidR="00080503" w:rsidRDefault="00080503">
      <w:pPr>
        <w:pStyle w:val="a3"/>
        <w:overflowPunct w:val="0"/>
        <w:spacing w:after="0" w:line="600" w:lineRule="exact"/>
        <w:ind w:firstLine="645"/>
        <w:rPr>
          <w:rFonts w:ascii="宋体" w:eastAsia="方正仿宋简体" w:hAnsi="宋体"/>
          <w:sz w:val="32"/>
          <w:szCs w:val="32"/>
        </w:rPr>
      </w:pPr>
    </w:p>
    <w:p w14:paraId="6E5130B1" w14:textId="77777777" w:rsidR="00080503" w:rsidRDefault="003A23BA">
      <w:pPr>
        <w:pStyle w:val="a3"/>
        <w:overflowPunct w:val="0"/>
        <w:spacing w:after="0" w:line="600" w:lineRule="exact"/>
        <w:ind w:firstLine="645"/>
        <w:rPr>
          <w:rFonts w:ascii="宋体" w:eastAsia="方正仿宋简体" w:hAnsi="宋体"/>
          <w:sz w:val="32"/>
          <w:szCs w:val="32"/>
        </w:rPr>
      </w:pPr>
      <w:r>
        <w:rPr>
          <w:rFonts w:ascii="宋体" w:eastAsia="方正仿宋简体" w:hAnsi="宋体"/>
          <w:sz w:val="32"/>
          <w:szCs w:val="32"/>
        </w:rPr>
        <w:br w:type="page"/>
      </w:r>
    </w:p>
    <w:p w14:paraId="2A44EA22" w14:textId="77777777" w:rsidR="00080503" w:rsidRDefault="003A23BA">
      <w:pPr>
        <w:pStyle w:val="a3"/>
        <w:overflowPunct w:val="0"/>
        <w:spacing w:after="0" w:line="600" w:lineRule="exact"/>
        <w:ind w:firstLine="645"/>
        <w:rPr>
          <w:rFonts w:ascii="宋体" w:eastAsia="方正仿宋简体" w:hAnsi="宋体"/>
          <w:sz w:val="32"/>
          <w:szCs w:val="32"/>
        </w:rPr>
      </w:pPr>
      <w:r>
        <w:rPr>
          <w:rFonts w:ascii="宋体" w:eastAsia="方正仿宋简体" w:hAnsi="宋体" w:cs="方正仿宋简体" w:hint="eastAsia"/>
          <w:sz w:val="32"/>
          <w:szCs w:val="32"/>
        </w:rPr>
        <w:lastRenderedPageBreak/>
        <w:t>“十五五”时期（</w:t>
      </w:r>
      <w:r>
        <w:rPr>
          <w:rFonts w:ascii="宋体" w:eastAsia="方正仿宋简体" w:hAnsi="宋体" w:cs="方正仿宋简体" w:hint="eastAsia"/>
          <w:sz w:val="32"/>
          <w:szCs w:val="32"/>
        </w:rPr>
        <w:t>2026</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年）是基</w:t>
      </w:r>
      <w:r>
        <w:rPr>
          <w:rFonts w:ascii="宋体" w:eastAsia="方正仿宋简体" w:hAnsi="宋体" w:cs="方正仿宋简体" w:hint="eastAsia"/>
          <w:sz w:val="32"/>
          <w:szCs w:val="32"/>
          <w:shd w:val="clear" w:color="auto" w:fill="FFFFFF"/>
        </w:rPr>
        <w:t>本实现社会主义现代化夯实基础、全面发力的关键时期，</w:t>
      </w:r>
      <w:r>
        <w:rPr>
          <w:rFonts w:ascii="宋体" w:eastAsia="方正仿宋简体" w:hAnsi="宋体" w:cs="方正仿宋简体" w:hint="eastAsia"/>
          <w:sz w:val="32"/>
          <w:szCs w:val="32"/>
        </w:rPr>
        <w:t>也是钢城区</w:t>
      </w:r>
      <w:r>
        <w:rPr>
          <w:rFonts w:ascii="宋体" w:eastAsia="方正仿宋简体" w:hAnsi="宋体" w:cs="方正仿宋简体" w:hint="eastAsia"/>
          <w:kern w:val="21"/>
          <w:sz w:val="32"/>
          <w:szCs w:val="32"/>
        </w:rPr>
        <w:t>凝心聚力推动高质量发展、奋力谱写新时代社会主义现代化强区新篇章</w:t>
      </w:r>
      <w:r>
        <w:rPr>
          <w:rFonts w:ascii="宋体" w:eastAsia="方正仿宋简体" w:hAnsi="宋体" w:cs="方正仿宋简体" w:hint="eastAsia"/>
          <w:sz w:val="32"/>
          <w:szCs w:val="32"/>
        </w:rPr>
        <w:t>的关键五年。《济南市钢城区国民经济和社会发展第十五个五年规划纲要》以习近平新时代中国特色社会主义思想为指导，深入贯彻党的二十大和二十届历次全会精神，认真落实中共山东省委十二届十次全会和中共济南市委十二届九次全会部署，根据《中共济南市钢城区委关于制定济南市钢城区国民经济和社会发展第十五个五年规划的建议》编制，主要阐明全区经济社会发展战略，明确今后五年经济社会发展主要目标任务，是政府履行职责的重要依据，是全区其他各级各类规划的总遵循。</w:t>
      </w:r>
    </w:p>
    <w:p w14:paraId="2B81A6B4" w14:textId="77777777" w:rsidR="00080503" w:rsidRDefault="00080503">
      <w:pPr>
        <w:pStyle w:val="a3"/>
        <w:overflowPunct w:val="0"/>
        <w:spacing w:after="0" w:line="600" w:lineRule="exact"/>
        <w:ind w:firstLine="645"/>
        <w:rPr>
          <w:rFonts w:ascii="宋体" w:eastAsia="方正仿宋简体" w:hAnsi="宋体"/>
          <w:sz w:val="32"/>
          <w:szCs w:val="32"/>
        </w:rPr>
      </w:pPr>
    </w:p>
    <w:p w14:paraId="70ED36C7" w14:textId="77777777" w:rsidR="00080503" w:rsidRDefault="003A23BA">
      <w:pPr>
        <w:pStyle w:val="a3"/>
        <w:overflowPunct w:val="0"/>
        <w:spacing w:after="0" w:line="600" w:lineRule="exact"/>
        <w:jc w:val="center"/>
        <w:rPr>
          <w:rFonts w:ascii="宋体" w:eastAsia="方正小标宋简体" w:hAnsi="宋体"/>
          <w:sz w:val="44"/>
          <w:szCs w:val="44"/>
        </w:rPr>
      </w:pPr>
      <w:r>
        <w:rPr>
          <w:rFonts w:ascii="宋体" w:eastAsia="方正小标宋简体" w:hAnsi="宋体" w:hint="eastAsia"/>
          <w:sz w:val="44"/>
          <w:szCs w:val="44"/>
        </w:rPr>
        <w:t>第一章</w:t>
      </w:r>
      <w:r>
        <w:rPr>
          <w:rFonts w:ascii="宋体" w:eastAsia="方正小标宋简体" w:hAnsi="宋体" w:hint="eastAsia"/>
          <w:sz w:val="44"/>
          <w:szCs w:val="44"/>
        </w:rPr>
        <w:t xml:space="preserve">  </w:t>
      </w:r>
      <w:bookmarkStart w:id="34" w:name="_Toc6760"/>
      <w:r>
        <w:rPr>
          <w:rFonts w:ascii="宋体" w:eastAsia="方正小标宋简体" w:hAnsi="宋体" w:cs="方正小标宋简体" w:hint="eastAsia"/>
          <w:sz w:val="44"/>
          <w:szCs w:val="44"/>
        </w:rPr>
        <w:t>“十四五”时期经济社会发展</w:t>
      </w:r>
      <w:bookmarkEnd w:id="34"/>
      <w:r>
        <w:rPr>
          <w:rFonts w:ascii="宋体" w:eastAsia="方正小标宋简体" w:hAnsi="宋体" w:cs="方正小标宋简体" w:hint="eastAsia"/>
          <w:sz w:val="44"/>
          <w:szCs w:val="44"/>
        </w:rPr>
        <w:t>回顾</w:t>
      </w:r>
    </w:p>
    <w:p w14:paraId="75B0CEBC" w14:textId="77777777" w:rsidR="00080503" w:rsidRDefault="00080503">
      <w:pPr>
        <w:pStyle w:val="a3"/>
        <w:overflowPunct w:val="0"/>
        <w:spacing w:after="0" w:line="600" w:lineRule="exact"/>
        <w:rPr>
          <w:rFonts w:ascii="宋体" w:eastAsia="方正仿宋简体" w:hAnsi="宋体"/>
          <w:sz w:val="32"/>
          <w:szCs w:val="32"/>
        </w:rPr>
      </w:pPr>
    </w:p>
    <w:p w14:paraId="5EA46C45" w14:textId="77777777" w:rsidR="00080503" w:rsidRDefault="003A23BA">
      <w:pPr>
        <w:pStyle w:val="a3"/>
        <w:overflowPunct w:val="0"/>
        <w:spacing w:after="0" w:line="600" w:lineRule="exact"/>
        <w:ind w:firstLine="645"/>
        <w:rPr>
          <w:rFonts w:ascii="宋体" w:eastAsia="方正仿宋简体" w:hAnsi="宋体" w:cs="方正仿宋简体"/>
          <w:sz w:val="32"/>
          <w:szCs w:val="32"/>
        </w:rPr>
      </w:pPr>
      <w:r>
        <w:rPr>
          <w:rFonts w:ascii="宋体" w:eastAsia="方正仿宋简体" w:hAnsi="宋体" w:cs="方正仿宋简体"/>
          <w:sz w:val="32"/>
          <w:szCs w:val="32"/>
        </w:rPr>
        <w:t>“</w:t>
      </w:r>
      <w:r>
        <w:rPr>
          <w:rFonts w:ascii="宋体" w:eastAsia="方正仿宋简体" w:hAnsi="宋体" w:cs="方正仿宋简体"/>
          <w:sz w:val="32"/>
          <w:szCs w:val="32"/>
        </w:rPr>
        <w:t>十四五</w:t>
      </w:r>
      <w:r>
        <w:rPr>
          <w:rFonts w:ascii="宋体" w:eastAsia="方正仿宋简体" w:hAnsi="宋体" w:cs="方正仿宋简体"/>
          <w:sz w:val="32"/>
          <w:szCs w:val="32"/>
        </w:rPr>
        <w:t>”</w:t>
      </w:r>
      <w:r>
        <w:rPr>
          <w:rFonts w:ascii="宋体" w:eastAsia="方正仿宋简体" w:hAnsi="宋体" w:cs="方正仿宋简体"/>
          <w:sz w:val="32"/>
          <w:szCs w:val="32"/>
        </w:rPr>
        <w:t>时期，钢城区发展面临前所未有的挑战，取得了来之不易的成绩。区委</w:t>
      </w:r>
      <w:r>
        <w:rPr>
          <w:rFonts w:ascii="宋体" w:eastAsia="方正仿宋简体" w:hAnsi="宋体" w:cs="方正仿宋简体" w:hint="eastAsia"/>
          <w:sz w:val="32"/>
          <w:szCs w:val="32"/>
        </w:rPr>
        <w:t>、</w:t>
      </w:r>
      <w:r>
        <w:rPr>
          <w:rFonts w:ascii="宋体" w:eastAsia="方正仿宋简体" w:hAnsi="宋体" w:cs="方正仿宋简体"/>
          <w:sz w:val="32"/>
          <w:szCs w:val="32"/>
        </w:rPr>
        <w:t>区</w:t>
      </w:r>
      <w:r>
        <w:rPr>
          <w:rFonts w:ascii="宋体" w:eastAsia="方正仿宋简体" w:hAnsi="宋体" w:cs="方正仿宋简体" w:hint="eastAsia"/>
          <w:sz w:val="32"/>
          <w:szCs w:val="32"/>
        </w:rPr>
        <w:t>人民</w:t>
      </w:r>
      <w:r>
        <w:rPr>
          <w:rFonts w:ascii="宋体" w:eastAsia="方正仿宋简体" w:hAnsi="宋体" w:cs="方正仿宋简体"/>
          <w:sz w:val="32"/>
          <w:szCs w:val="32"/>
        </w:rPr>
        <w:t>政府团结带领全区人民坚持以习近平新时代中国特色社会主义思想为指导，深入贯彻习近平总书记视察山东重要讲话和重要指示批示精神，按照</w:t>
      </w:r>
      <w:r>
        <w:rPr>
          <w:rFonts w:ascii="宋体" w:eastAsia="方正仿宋简体" w:hAnsi="宋体" w:cs="方正仿宋简体"/>
          <w:sz w:val="32"/>
          <w:szCs w:val="32"/>
        </w:rPr>
        <w:t>“1364”</w:t>
      </w:r>
      <w:r>
        <w:rPr>
          <w:rFonts w:ascii="宋体" w:eastAsia="方正仿宋简体" w:hAnsi="宋体" w:cs="方正仿宋简体"/>
          <w:sz w:val="32"/>
          <w:szCs w:val="32"/>
        </w:rPr>
        <w:t>工作思路，坚定不移推动高质量发展，持续推进</w:t>
      </w:r>
      <w:r>
        <w:rPr>
          <w:rFonts w:ascii="宋体" w:eastAsia="方正仿宋简体" w:hAnsi="宋体" w:cs="方正仿宋简体"/>
          <w:sz w:val="32"/>
          <w:szCs w:val="32"/>
        </w:rPr>
        <w:t>“</w:t>
      </w:r>
      <w:r>
        <w:rPr>
          <w:rFonts w:ascii="宋体" w:eastAsia="方正仿宋简体" w:hAnsi="宋体" w:cs="方正仿宋简体"/>
          <w:sz w:val="32"/>
          <w:szCs w:val="32"/>
        </w:rPr>
        <w:t>项目突破年</w:t>
      </w:r>
      <w:r>
        <w:rPr>
          <w:rFonts w:ascii="宋体" w:eastAsia="方正仿宋简体" w:hAnsi="宋体" w:cs="方正仿宋简体"/>
          <w:sz w:val="32"/>
          <w:szCs w:val="32"/>
        </w:rPr>
        <w:t>”</w:t>
      </w:r>
      <w:r>
        <w:rPr>
          <w:rFonts w:ascii="宋体" w:eastAsia="方正仿宋简体" w:hAnsi="宋体" w:cs="方正仿宋简体" w:hint="eastAsia"/>
          <w:sz w:val="32"/>
          <w:szCs w:val="32"/>
        </w:rPr>
        <w:t>、</w:t>
      </w:r>
      <w:r>
        <w:rPr>
          <w:rFonts w:ascii="宋体" w:eastAsia="方正仿宋简体" w:hAnsi="宋体" w:cs="方正仿宋简体"/>
          <w:sz w:val="32"/>
          <w:szCs w:val="32"/>
        </w:rPr>
        <w:t>“</w:t>
      </w:r>
      <w:r>
        <w:rPr>
          <w:rFonts w:ascii="宋体" w:eastAsia="方正仿宋简体" w:hAnsi="宋体" w:cs="方正仿宋简体"/>
          <w:sz w:val="32"/>
          <w:szCs w:val="32"/>
        </w:rPr>
        <w:t>项目深化年</w:t>
      </w:r>
      <w:r>
        <w:rPr>
          <w:rFonts w:ascii="宋体" w:eastAsia="方正仿宋简体" w:hAnsi="宋体" w:cs="方正仿宋简体"/>
          <w:sz w:val="32"/>
          <w:szCs w:val="32"/>
        </w:rPr>
        <w:t>”</w:t>
      </w:r>
      <w:r>
        <w:rPr>
          <w:rFonts w:ascii="宋体" w:eastAsia="方正仿宋简体" w:hAnsi="宋体" w:cs="方正仿宋简体" w:hint="eastAsia"/>
          <w:sz w:val="32"/>
          <w:szCs w:val="32"/>
        </w:rPr>
        <w:t>、</w:t>
      </w:r>
      <w:r>
        <w:rPr>
          <w:rFonts w:ascii="宋体" w:eastAsia="方正仿宋简体" w:hAnsi="宋体" w:cs="方正仿宋简体"/>
          <w:sz w:val="32"/>
          <w:szCs w:val="32"/>
        </w:rPr>
        <w:t>“</w:t>
      </w:r>
      <w:r>
        <w:rPr>
          <w:rFonts w:ascii="宋体" w:eastAsia="方正仿宋简体" w:hAnsi="宋体" w:cs="方正仿宋简体"/>
          <w:sz w:val="32"/>
          <w:szCs w:val="32"/>
        </w:rPr>
        <w:t>项目提升年</w:t>
      </w:r>
      <w:r>
        <w:rPr>
          <w:rFonts w:ascii="宋体" w:eastAsia="方正仿宋简体" w:hAnsi="宋体" w:cs="方正仿宋简体"/>
          <w:sz w:val="32"/>
          <w:szCs w:val="32"/>
        </w:rPr>
        <w:t>”</w:t>
      </w:r>
      <w:r>
        <w:rPr>
          <w:rFonts w:ascii="宋体" w:eastAsia="方正仿宋简体" w:hAnsi="宋体" w:cs="方正仿宋简体"/>
          <w:sz w:val="32"/>
          <w:szCs w:val="32"/>
        </w:rPr>
        <w:t>，</w:t>
      </w:r>
      <w:r>
        <w:rPr>
          <w:rFonts w:ascii="宋体" w:eastAsia="方正仿宋简体" w:hAnsi="宋体" w:cs="方正仿宋简体" w:hint="eastAsia"/>
          <w:sz w:val="32"/>
          <w:szCs w:val="32"/>
        </w:rPr>
        <w:t>新旧动能转换初见成效，经济实现稳中有进，现代化高品质美丽钢城建设迈出坚实步伐。</w:t>
      </w:r>
    </w:p>
    <w:p w14:paraId="748A1401" w14:textId="77777777" w:rsidR="00080503" w:rsidRDefault="003A23BA">
      <w:pPr>
        <w:pStyle w:val="a3"/>
        <w:overflowPunct w:val="0"/>
        <w:spacing w:before="240" w:line="600" w:lineRule="exact"/>
        <w:jc w:val="center"/>
        <w:rPr>
          <w:rFonts w:ascii="宋体" w:eastAsia="黑体" w:hAnsi="宋体"/>
          <w:sz w:val="32"/>
          <w:szCs w:val="32"/>
        </w:rPr>
      </w:pPr>
      <w:r>
        <w:rPr>
          <w:rFonts w:ascii="宋体" w:eastAsia="黑体" w:hAnsi="宋体" w:hint="eastAsia"/>
          <w:sz w:val="32"/>
          <w:szCs w:val="32"/>
        </w:rPr>
        <w:lastRenderedPageBreak/>
        <w:t>第一节</w:t>
      </w:r>
      <w:r>
        <w:rPr>
          <w:rFonts w:ascii="宋体" w:eastAsia="黑体" w:hAnsi="宋体" w:hint="eastAsia"/>
          <w:sz w:val="32"/>
          <w:szCs w:val="32"/>
        </w:rPr>
        <w:t xml:space="preserve"> </w:t>
      </w:r>
      <w:r>
        <w:rPr>
          <w:rFonts w:ascii="宋体" w:eastAsia="黑体" w:hAnsi="宋体"/>
          <w:sz w:val="32"/>
          <w:szCs w:val="32"/>
        </w:rPr>
        <w:t xml:space="preserve"> </w:t>
      </w:r>
      <w:r>
        <w:rPr>
          <w:rFonts w:ascii="宋体" w:eastAsia="黑体" w:hAnsi="宋体" w:cs="黑体" w:hint="eastAsia"/>
          <w:kern w:val="44"/>
          <w:sz w:val="32"/>
          <w:szCs w:val="48"/>
          <w:lang w:bidi="ar"/>
        </w:rPr>
        <w:t>综合实力稳步增强</w:t>
      </w:r>
    </w:p>
    <w:p w14:paraId="5FAA3272" w14:textId="77777777" w:rsidR="00080503" w:rsidRDefault="003A23BA">
      <w:pPr>
        <w:pStyle w:val="a3"/>
        <w:overflowPunct w:val="0"/>
        <w:spacing w:after="0" w:line="600" w:lineRule="exact"/>
        <w:ind w:firstLine="645"/>
        <w:rPr>
          <w:rFonts w:ascii="宋体" w:eastAsia="方正仿宋简体" w:hAnsi="宋体" w:cs="方正仿宋简体"/>
          <w:sz w:val="32"/>
          <w:szCs w:val="32"/>
        </w:rPr>
      </w:pPr>
      <w:r>
        <w:rPr>
          <w:rFonts w:ascii="宋体" w:eastAsia="方正仿宋简体" w:hAnsi="宋体" w:cs="方正仿宋简体" w:hint="eastAsia"/>
          <w:sz w:val="32"/>
          <w:szCs w:val="32"/>
        </w:rPr>
        <w:t>坚持把高质量发展作为首要任务，攻坚克难、奋勇争先，全区经济发展稳中有进、向上向好，地区生产总值等主要经济指标稳定增长。</w:t>
      </w:r>
      <w:r>
        <w:rPr>
          <w:rFonts w:ascii="宋体" w:eastAsia="方正仿宋简体" w:hAnsi="宋体" w:cs="方正仿宋简体" w:hint="eastAsia"/>
          <w:sz w:val="32"/>
          <w:szCs w:val="32"/>
        </w:rPr>
        <w:t>2025</w:t>
      </w:r>
      <w:r>
        <w:rPr>
          <w:rFonts w:ascii="宋体" w:eastAsia="方正仿宋简体" w:hAnsi="宋体" w:cs="方正仿宋简体" w:hint="eastAsia"/>
          <w:sz w:val="32"/>
          <w:szCs w:val="32"/>
        </w:rPr>
        <w:t>年地区生产总值达到</w:t>
      </w:r>
      <w:r>
        <w:rPr>
          <w:rFonts w:ascii="宋体" w:eastAsia="方正仿宋简体" w:hAnsi="宋体" w:cs="方正仿宋简体" w:hint="eastAsia"/>
          <w:sz w:val="32"/>
          <w:szCs w:val="32"/>
        </w:rPr>
        <w:t>359.25</w:t>
      </w:r>
      <w:r>
        <w:rPr>
          <w:rFonts w:ascii="宋体" w:eastAsia="方正仿宋简体" w:hAnsi="宋体" w:cs="方正仿宋简体" w:hint="eastAsia"/>
          <w:sz w:val="32"/>
          <w:szCs w:val="32"/>
        </w:rPr>
        <w:t>亿元，较“十三五”末提高</w:t>
      </w:r>
      <w:r>
        <w:rPr>
          <w:rFonts w:ascii="宋体" w:eastAsia="方正仿宋简体" w:hAnsi="宋体" w:cs="方正仿宋简体" w:hint="eastAsia"/>
          <w:sz w:val="32"/>
          <w:szCs w:val="32"/>
        </w:rPr>
        <w:t>19.68%</w:t>
      </w:r>
      <w:r>
        <w:rPr>
          <w:rFonts w:ascii="宋体" w:eastAsia="方正仿宋简体" w:hAnsi="宋体" w:cs="方正仿宋简体" w:hint="eastAsia"/>
          <w:sz w:val="32"/>
          <w:szCs w:val="32"/>
        </w:rPr>
        <w:t>。全区户籍总人口数达到</w:t>
      </w:r>
      <w:r>
        <w:rPr>
          <w:rFonts w:ascii="宋体" w:eastAsia="方正仿宋简体" w:hAnsi="宋体" w:cs="方正仿宋简体" w:hint="eastAsia"/>
          <w:sz w:val="32"/>
          <w:szCs w:val="32"/>
        </w:rPr>
        <w:t>28.86</w:t>
      </w:r>
      <w:r>
        <w:rPr>
          <w:rFonts w:ascii="宋体" w:eastAsia="方正仿宋简体" w:hAnsi="宋体" w:cs="方正仿宋简体" w:hint="eastAsia"/>
          <w:sz w:val="32"/>
          <w:szCs w:val="32"/>
        </w:rPr>
        <w:t>万人，城镇居民、农村居民人均可支配收入分别较</w:t>
      </w:r>
      <w:r>
        <w:rPr>
          <w:rFonts w:ascii="宋体" w:eastAsia="方正仿宋简体" w:hAnsi="宋体" w:cs="方正仿宋简体" w:hint="eastAsia"/>
          <w:sz w:val="32"/>
          <w:szCs w:val="32"/>
        </w:rPr>
        <w:t>2020</w:t>
      </w:r>
      <w:r>
        <w:rPr>
          <w:rFonts w:ascii="宋体" w:eastAsia="方正仿宋简体" w:hAnsi="宋体" w:cs="方正仿宋简体" w:hint="eastAsia"/>
          <w:sz w:val="32"/>
          <w:szCs w:val="32"/>
        </w:rPr>
        <w:t>年增长</w:t>
      </w:r>
      <w:r>
        <w:rPr>
          <w:rFonts w:ascii="宋体" w:eastAsia="方正仿宋简体" w:hAnsi="宋体" w:cs="方正仿宋简体" w:hint="eastAsia"/>
          <w:sz w:val="32"/>
          <w:szCs w:val="32"/>
        </w:rPr>
        <w:t>27%</w:t>
      </w:r>
      <w:r>
        <w:rPr>
          <w:rFonts w:ascii="宋体" w:eastAsia="方正仿宋简体" w:hAnsi="宋体" w:cs="方正仿宋简体" w:hint="eastAsia"/>
          <w:sz w:val="32"/>
          <w:szCs w:val="32"/>
        </w:rPr>
        <w:t>和</w:t>
      </w:r>
      <w:r>
        <w:rPr>
          <w:rFonts w:ascii="宋体" w:eastAsia="方正仿宋简体" w:hAnsi="宋体" w:cs="方正仿宋简体" w:hint="eastAsia"/>
          <w:sz w:val="32"/>
          <w:szCs w:val="32"/>
        </w:rPr>
        <w:t>40%</w:t>
      </w:r>
      <w:r>
        <w:rPr>
          <w:rFonts w:ascii="宋体" w:eastAsia="方正仿宋简体" w:hAnsi="宋体" w:cs="方正仿宋简体" w:hint="eastAsia"/>
          <w:sz w:val="32"/>
          <w:szCs w:val="32"/>
        </w:rPr>
        <w:t>。有效需求持续扩大，消费活力显著提升，社会消费品零售总额年均增长</w:t>
      </w:r>
      <w:r>
        <w:rPr>
          <w:rFonts w:ascii="宋体" w:eastAsia="方正仿宋简体" w:hAnsi="宋体" w:cs="方正仿宋简体" w:hint="eastAsia"/>
          <w:sz w:val="32"/>
          <w:szCs w:val="32"/>
        </w:rPr>
        <w:t>4.4%</w:t>
      </w:r>
      <w:r>
        <w:rPr>
          <w:rFonts w:ascii="宋体" w:eastAsia="方正仿宋简体" w:hAnsi="宋体" w:cs="方正仿宋简体" w:hint="eastAsia"/>
          <w:sz w:val="32"/>
          <w:szCs w:val="32"/>
        </w:rPr>
        <w:t>。市场主体规模稳步提升，全区市场主体总量达到</w:t>
      </w:r>
      <w:r>
        <w:rPr>
          <w:rFonts w:ascii="宋体" w:eastAsia="方正仿宋简体" w:hAnsi="宋体" w:cs="方正仿宋简体" w:hint="eastAsia"/>
          <w:sz w:val="32"/>
          <w:szCs w:val="32"/>
        </w:rPr>
        <w:t>3.04</w:t>
      </w:r>
      <w:r>
        <w:rPr>
          <w:rFonts w:ascii="宋体" w:eastAsia="方正仿宋简体" w:hAnsi="宋体" w:cs="方正仿宋简体" w:hint="eastAsia"/>
          <w:sz w:val="32"/>
          <w:szCs w:val="32"/>
        </w:rPr>
        <w:t>万户，规模以上企业达到</w:t>
      </w:r>
      <w:r>
        <w:rPr>
          <w:rFonts w:ascii="宋体" w:eastAsia="方正仿宋简体" w:hAnsi="宋体" w:cs="方正仿宋简体" w:hint="eastAsia"/>
          <w:sz w:val="32"/>
          <w:szCs w:val="32"/>
        </w:rPr>
        <w:t>768</w:t>
      </w:r>
      <w:r>
        <w:rPr>
          <w:rFonts w:ascii="宋体" w:eastAsia="方正仿宋简体" w:hAnsi="宋体" w:cs="方正仿宋简体" w:hint="eastAsia"/>
          <w:sz w:val="32"/>
          <w:szCs w:val="32"/>
        </w:rPr>
        <w:t>家。</w:t>
      </w:r>
    </w:p>
    <w:p w14:paraId="38D264EE"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第二节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产业升级步伐加快</w:t>
      </w:r>
    </w:p>
    <w:p w14:paraId="2AF3FF62"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坚定实施工业强区战略，聚焦产业集群发展，精准培育钢铁、先进材料、新能源装备三个主导产业，大力培育精密铸锻与装备制造、绿色建造与装配式建筑两个特色产业，形成“</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产业发展格局，精密锻件产业集群成为全市首个国家级中小企业特色产业集群，精品钢精深加工、粉末冶金产业集群入选省级中小企业特色产业集群。服务保障宝武对山钢股份钢城基地一体化支撑项目，在生产效能、质量管控、成本优化、体系建设上持续发力，关键指标全面向好，扭亏为盈效果初显。聚焦产业提质，推进企业技术装备更新改造，实施过亿元技改项目</w:t>
      </w:r>
      <w:r>
        <w:rPr>
          <w:rFonts w:ascii="宋体" w:eastAsia="方正仿宋简体" w:hAnsi="宋体" w:cs="方正仿宋简体" w:hint="eastAsia"/>
          <w:sz w:val="32"/>
          <w:szCs w:val="32"/>
        </w:rPr>
        <w:t>62</w:t>
      </w:r>
      <w:r>
        <w:rPr>
          <w:rFonts w:ascii="宋体" w:eastAsia="方正仿宋简体" w:hAnsi="宋体" w:cs="方正仿宋简体" w:hint="eastAsia"/>
          <w:sz w:val="32"/>
          <w:szCs w:val="32"/>
        </w:rPr>
        <w:t>个，新培育规上工业企业</w:t>
      </w:r>
      <w:r>
        <w:rPr>
          <w:rFonts w:ascii="宋体" w:eastAsia="方正仿宋简体" w:hAnsi="宋体" w:cs="方正仿宋简体" w:hint="eastAsia"/>
          <w:sz w:val="32"/>
          <w:szCs w:val="32"/>
        </w:rPr>
        <w:t>92</w:t>
      </w:r>
      <w:r>
        <w:rPr>
          <w:rFonts w:ascii="宋体" w:eastAsia="方正仿宋简体" w:hAnsi="宋体" w:cs="方正仿宋简体" w:hint="eastAsia"/>
          <w:sz w:val="32"/>
          <w:szCs w:val="32"/>
        </w:rPr>
        <w:t>家、专精特新“小巨人”企业</w:t>
      </w:r>
      <w:r>
        <w:rPr>
          <w:rFonts w:ascii="宋体" w:eastAsia="方正仿宋简体" w:hAnsi="宋体" w:cs="方正仿宋简体" w:hint="eastAsia"/>
          <w:sz w:val="32"/>
          <w:szCs w:val="32"/>
        </w:rPr>
        <w:t>7</w:t>
      </w:r>
      <w:r>
        <w:rPr>
          <w:rFonts w:ascii="宋体" w:eastAsia="方正仿宋简体" w:hAnsi="宋体" w:cs="方正仿宋简体" w:hint="eastAsia"/>
          <w:sz w:val="32"/>
          <w:szCs w:val="32"/>
        </w:rPr>
        <w:t>家，省级专精特新、瞪羚企业</w:t>
      </w:r>
      <w:r>
        <w:rPr>
          <w:rFonts w:ascii="宋体" w:eastAsia="方正仿宋简体" w:hAnsi="宋体" w:cs="方正仿宋简体" w:hint="eastAsia"/>
          <w:sz w:val="32"/>
          <w:szCs w:val="32"/>
        </w:rPr>
        <w:t>78</w:t>
      </w:r>
      <w:r>
        <w:rPr>
          <w:rFonts w:ascii="宋体" w:eastAsia="方正仿宋简体" w:hAnsi="宋体" w:cs="方正仿宋简体" w:hint="eastAsia"/>
          <w:sz w:val="32"/>
          <w:szCs w:val="32"/>
        </w:rPr>
        <w:t>家，市级专精特新、瞪羚企业</w:t>
      </w:r>
      <w:r>
        <w:rPr>
          <w:rFonts w:ascii="宋体" w:eastAsia="方正仿宋简体" w:hAnsi="宋体" w:cs="方正仿宋简体" w:hint="eastAsia"/>
          <w:sz w:val="32"/>
          <w:szCs w:val="32"/>
        </w:rPr>
        <w:t>40</w:t>
      </w:r>
      <w:r>
        <w:rPr>
          <w:rFonts w:ascii="宋体" w:eastAsia="方正仿宋简体" w:hAnsi="宋体" w:cs="方正仿宋简体" w:hint="eastAsia"/>
          <w:sz w:val="32"/>
          <w:szCs w:val="32"/>
        </w:rPr>
        <w:t>家。新增山东省高端</w:t>
      </w:r>
      <w:r>
        <w:rPr>
          <w:rFonts w:ascii="宋体" w:eastAsia="方正仿宋简体" w:hAnsi="宋体" w:cs="方正仿宋简体" w:hint="eastAsia"/>
          <w:sz w:val="32"/>
          <w:szCs w:val="32"/>
        </w:rPr>
        <w:lastRenderedPageBreak/>
        <w:t>品牌培育企业</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家，</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家制造业企业产品入选“好品山东”、“泉城好品”品牌。大力发展现代农业，未来畜禽种业现代农业产业园四大功能片区基本建成，山东农科乳业产业园、巴克夏原种猪繁育基地等</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个项目落地。市级以上农业龙头企业达</w:t>
      </w:r>
      <w:r>
        <w:rPr>
          <w:rFonts w:ascii="宋体" w:eastAsia="方正仿宋简体" w:hAnsi="宋体" w:cs="方正仿宋简体" w:hint="eastAsia"/>
          <w:sz w:val="32"/>
          <w:szCs w:val="32"/>
        </w:rPr>
        <w:t>24</w:t>
      </w:r>
      <w:r>
        <w:rPr>
          <w:rFonts w:ascii="宋体" w:eastAsia="方正仿宋简体" w:hAnsi="宋体" w:cs="方正仿宋简体" w:hint="eastAsia"/>
          <w:sz w:val="32"/>
          <w:szCs w:val="32"/>
        </w:rPr>
        <w:t>家，新增专业合作社、家庭农场等新型经营主体</w:t>
      </w:r>
      <w:r>
        <w:rPr>
          <w:rFonts w:ascii="宋体" w:eastAsia="方正仿宋简体" w:hAnsi="宋体" w:cs="方正仿宋简体" w:hint="eastAsia"/>
          <w:sz w:val="32"/>
          <w:szCs w:val="32"/>
        </w:rPr>
        <w:t>350</w:t>
      </w:r>
      <w:r>
        <w:rPr>
          <w:rFonts w:ascii="宋体" w:eastAsia="方正仿宋简体" w:hAnsi="宋体" w:cs="方正仿宋简体" w:hint="eastAsia"/>
          <w:sz w:val="32"/>
          <w:szCs w:val="32"/>
        </w:rPr>
        <w:t>个。服务业发展规模持续扩大，填补法律服务、水资源治理、教育培训、检验检测等</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个空白行业，</w:t>
      </w:r>
      <w:r>
        <w:rPr>
          <w:rFonts w:ascii="宋体" w:eastAsia="方正仿宋简体" w:hAnsi="宋体" w:cs="方正仿宋简体" w:hint="eastAsia"/>
          <w:sz w:val="32"/>
          <w:szCs w:val="32"/>
        </w:rPr>
        <w:t>2025</w:t>
      </w:r>
      <w:r>
        <w:rPr>
          <w:rFonts w:ascii="宋体" w:eastAsia="方正仿宋简体" w:hAnsi="宋体" w:cs="方正仿宋简体" w:hint="eastAsia"/>
          <w:sz w:val="32"/>
          <w:szCs w:val="32"/>
        </w:rPr>
        <w:t>年服务业增加值占地区生产总值的比重较</w:t>
      </w:r>
      <w:r>
        <w:rPr>
          <w:rFonts w:ascii="宋体" w:eastAsia="方正仿宋简体" w:hAnsi="宋体" w:cs="方正仿宋简体" w:hint="eastAsia"/>
          <w:sz w:val="32"/>
          <w:szCs w:val="32"/>
        </w:rPr>
        <w:t>2020</w:t>
      </w:r>
      <w:r>
        <w:rPr>
          <w:rFonts w:ascii="宋体" w:eastAsia="方正仿宋简体" w:hAnsi="宋体" w:cs="方正仿宋简体" w:hint="eastAsia"/>
          <w:sz w:val="32"/>
          <w:szCs w:val="32"/>
        </w:rPr>
        <w:t>年提高</w:t>
      </w:r>
      <w:r>
        <w:rPr>
          <w:rFonts w:ascii="宋体" w:eastAsia="方正仿宋简体" w:hAnsi="宋体" w:cs="方正仿宋简体" w:hint="eastAsia"/>
          <w:sz w:val="32"/>
          <w:szCs w:val="32"/>
        </w:rPr>
        <w:t>12.9</w:t>
      </w:r>
      <w:r>
        <w:rPr>
          <w:rFonts w:ascii="宋体" w:eastAsia="方正仿宋简体" w:hAnsi="宋体" w:cs="方正仿宋简体" w:hint="eastAsia"/>
          <w:sz w:val="32"/>
          <w:szCs w:val="32"/>
        </w:rPr>
        <w:t>个百分点。建成区产业研发中心、区科创中心等载体，</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个项目纳入省现代服务业重点项目库，认定市级以上总部企业</w:t>
      </w:r>
      <w:r>
        <w:rPr>
          <w:rFonts w:ascii="宋体" w:eastAsia="方正仿宋简体" w:hAnsi="宋体" w:cs="方正仿宋简体" w:hint="eastAsia"/>
          <w:sz w:val="32"/>
          <w:szCs w:val="32"/>
        </w:rPr>
        <w:t>5</w:t>
      </w:r>
      <w:r>
        <w:rPr>
          <w:rFonts w:ascii="宋体" w:eastAsia="方正仿宋简体" w:hAnsi="宋体" w:cs="方正仿宋简体" w:hint="eastAsia"/>
          <w:sz w:val="32"/>
          <w:szCs w:val="32"/>
        </w:rPr>
        <w:t>家。承办举办全国汽车场地越野赛、全国象棋甲级联赛、钢城“村拔”擂台赛等节庆赛事活动</w:t>
      </w:r>
      <w:r>
        <w:rPr>
          <w:rFonts w:ascii="宋体" w:eastAsia="方正仿宋简体" w:hAnsi="宋体" w:cs="方正仿宋简体" w:hint="eastAsia"/>
          <w:sz w:val="32"/>
          <w:szCs w:val="32"/>
        </w:rPr>
        <w:t>220</w:t>
      </w:r>
      <w:r>
        <w:rPr>
          <w:rFonts w:ascii="宋体" w:eastAsia="方正仿宋简体" w:hAnsi="宋体" w:cs="方正仿宋简体" w:hint="eastAsia"/>
          <w:sz w:val="32"/>
          <w:szCs w:val="32"/>
        </w:rPr>
        <w:t>余场，开展消费品以旧换新等促销活动</w:t>
      </w:r>
      <w:r>
        <w:rPr>
          <w:rFonts w:ascii="宋体" w:eastAsia="方正仿宋简体" w:hAnsi="宋体" w:cs="方正仿宋简体" w:hint="eastAsia"/>
          <w:sz w:val="32"/>
          <w:szCs w:val="32"/>
        </w:rPr>
        <w:t>128</w:t>
      </w:r>
      <w:r>
        <w:rPr>
          <w:rFonts w:ascii="宋体" w:eastAsia="方正仿宋简体" w:hAnsi="宋体" w:cs="方正仿宋简体" w:hint="eastAsia"/>
          <w:sz w:val="32"/>
          <w:szCs w:val="32"/>
        </w:rPr>
        <w:t>场，拓展消费新品牌、新场景</w:t>
      </w:r>
      <w:r>
        <w:rPr>
          <w:rFonts w:ascii="宋体" w:eastAsia="方正仿宋简体" w:hAnsi="宋体" w:cs="方正仿宋简体" w:hint="eastAsia"/>
          <w:sz w:val="32"/>
          <w:szCs w:val="32"/>
        </w:rPr>
        <w:t>12</w:t>
      </w:r>
      <w:r>
        <w:rPr>
          <w:rFonts w:ascii="宋体" w:eastAsia="方正仿宋简体" w:hAnsi="宋体" w:cs="方正仿宋简体" w:hint="eastAsia"/>
          <w:sz w:val="32"/>
          <w:szCs w:val="32"/>
        </w:rPr>
        <w:t>个，打造一刻钟便民生活圈</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个。</w:t>
      </w:r>
    </w:p>
    <w:p w14:paraId="1E234209"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第三节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创新活力加速释放</w:t>
      </w:r>
    </w:p>
    <w:p w14:paraId="4D7CF0AE"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创新主体提质扩容，</w:t>
      </w:r>
      <w:r>
        <w:rPr>
          <w:rFonts w:ascii="宋体" w:eastAsia="方正仿宋简体" w:hAnsi="宋体" w:cs="方正仿宋简体" w:hint="eastAsia"/>
          <w:sz w:val="32"/>
          <w:szCs w:val="32"/>
        </w:rPr>
        <w:t>2025</w:t>
      </w:r>
      <w:r>
        <w:rPr>
          <w:rFonts w:ascii="宋体" w:eastAsia="方正仿宋简体" w:hAnsi="宋体" w:cs="方正仿宋简体" w:hint="eastAsia"/>
          <w:sz w:val="32"/>
          <w:szCs w:val="32"/>
        </w:rPr>
        <w:t>年科技型中小企业入库数量较</w:t>
      </w:r>
      <w:r>
        <w:rPr>
          <w:rFonts w:ascii="宋体" w:eastAsia="方正仿宋简体" w:hAnsi="宋体" w:cs="方正仿宋简体" w:hint="eastAsia"/>
          <w:sz w:val="32"/>
          <w:szCs w:val="32"/>
        </w:rPr>
        <w:t>2020</w:t>
      </w:r>
      <w:r>
        <w:rPr>
          <w:rFonts w:ascii="宋体" w:eastAsia="方正仿宋简体" w:hAnsi="宋体" w:cs="方正仿宋简体" w:hint="eastAsia"/>
          <w:sz w:val="32"/>
          <w:szCs w:val="32"/>
        </w:rPr>
        <w:t>年增长</w:t>
      </w:r>
      <w:r>
        <w:rPr>
          <w:rFonts w:ascii="宋体" w:eastAsia="方正仿宋简体" w:hAnsi="宋体" w:cs="方正仿宋简体" w:hint="eastAsia"/>
          <w:sz w:val="32"/>
          <w:szCs w:val="32"/>
        </w:rPr>
        <w:t>320%</w:t>
      </w:r>
      <w:r>
        <w:rPr>
          <w:rFonts w:ascii="宋体" w:eastAsia="方正仿宋简体" w:hAnsi="宋体" w:cs="方正仿宋简体" w:hint="eastAsia"/>
          <w:sz w:val="32"/>
          <w:szCs w:val="32"/>
        </w:rPr>
        <w:t>，高新技术企业达到</w:t>
      </w:r>
      <w:r>
        <w:rPr>
          <w:rFonts w:ascii="宋体" w:eastAsia="方正仿宋简体" w:hAnsi="宋体" w:cs="方正仿宋简体" w:hint="eastAsia"/>
          <w:sz w:val="32"/>
          <w:szCs w:val="32"/>
        </w:rPr>
        <w:t>92</w:t>
      </w:r>
      <w:r>
        <w:rPr>
          <w:rFonts w:ascii="宋体" w:eastAsia="方正仿宋简体" w:hAnsi="宋体" w:cs="方正仿宋简体" w:hint="eastAsia"/>
          <w:sz w:val="32"/>
          <w:szCs w:val="32"/>
        </w:rPr>
        <w:t>家，高新技术产业产值占规模以上工业总产值比重达</w:t>
      </w:r>
      <w:r>
        <w:rPr>
          <w:rFonts w:ascii="宋体" w:eastAsia="方正仿宋简体" w:hAnsi="宋体" w:cs="方正仿宋简体" w:hint="eastAsia"/>
          <w:sz w:val="32"/>
          <w:szCs w:val="32"/>
        </w:rPr>
        <w:t>41.4%</w:t>
      </w:r>
      <w:r>
        <w:rPr>
          <w:rFonts w:ascii="宋体" w:eastAsia="方正仿宋简体" w:hAnsi="宋体" w:cs="方正仿宋简体" w:hint="eastAsia"/>
          <w:sz w:val="32"/>
          <w:szCs w:val="32"/>
        </w:rPr>
        <w:t>。研发投入持续加大，全区投入研发经费</w:t>
      </w:r>
      <w:r>
        <w:rPr>
          <w:rFonts w:ascii="宋体" w:eastAsia="方正仿宋简体" w:hAnsi="宋体" w:cs="方正仿宋简体" w:hint="eastAsia"/>
          <w:sz w:val="32"/>
          <w:szCs w:val="32"/>
        </w:rPr>
        <w:t>17.3</w:t>
      </w:r>
      <w:r>
        <w:rPr>
          <w:rFonts w:ascii="宋体" w:eastAsia="方正仿宋简体" w:hAnsi="宋体" w:cs="方正仿宋简体" w:hint="eastAsia"/>
          <w:sz w:val="32"/>
          <w:szCs w:val="32"/>
        </w:rPr>
        <w:t>亿元，连续</w:t>
      </w:r>
      <w:r>
        <w:rPr>
          <w:rFonts w:ascii="宋体" w:eastAsia="方正仿宋简体" w:hAnsi="宋体" w:cs="方正仿宋简体" w:hint="eastAsia"/>
          <w:sz w:val="32"/>
          <w:szCs w:val="32"/>
        </w:rPr>
        <w:t>4</w:t>
      </w:r>
      <w:r>
        <w:rPr>
          <w:rFonts w:ascii="宋体" w:eastAsia="方正仿宋简体" w:hAnsi="宋体" w:cs="方正仿宋简体" w:hint="eastAsia"/>
          <w:sz w:val="32"/>
          <w:szCs w:val="32"/>
        </w:rPr>
        <w:t>年保持增长，研发投入强度达到</w:t>
      </w:r>
      <w:r>
        <w:rPr>
          <w:rFonts w:ascii="宋体" w:eastAsia="方正仿宋简体" w:hAnsi="宋体" w:cs="方正仿宋简体" w:hint="eastAsia"/>
          <w:sz w:val="32"/>
          <w:szCs w:val="32"/>
        </w:rPr>
        <w:t>4.79%</w:t>
      </w:r>
      <w:r>
        <w:rPr>
          <w:rFonts w:ascii="宋体" w:eastAsia="方正仿宋简体" w:hAnsi="宋体" w:cs="方正仿宋简体" w:hint="eastAsia"/>
          <w:sz w:val="32"/>
          <w:szCs w:val="32"/>
        </w:rPr>
        <w:t>，</w:t>
      </w:r>
      <w:r>
        <w:rPr>
          <w:rFonts w:ascii="宋体" w:eastAsia="方正仿宋简体" w:hAnsi="宋体" w:cs="方正仿宋简体"/>
          <w:sz w:val="32"/>
          <w:szCs w:val="32"/>
        </w:rPr>
        <w:t>较全省、全市分别高出</w:t>
      </w:r>
      <w:r>
        <w:rPr>
          <w:rFonts w:ascii="宋体" w:eastAsia="方正仿宋简体" w:hAnsi="宋体" w:cs="方正仿宋简体"/>
          <w:sz w:val="32"/>
          <w:szCs w:val="32"/>
        </w:rPr>
        <w:t>2.15</w:t>
      </w:r>
      <w:r>
        <w:rPr>
          <w:rFonts w:ascii="宋体" w:eastAsia="方正仿宋简体" w:hAnsi="宋体" w:cs="方正仿宋简体"/>
          <w:sz w:val="32"/>
          <w:szCs w:val="32"/>
        </w:rPr>
        <w:t>个、</w:t>
      </w:r>
      <w:r>
        <w:rPr>
          <w:rFonts w:ascii="宋体" w:eastAsia="方正仿宋简体" w:hAnsi="宋体" w:cs="方正仿宋简体"/>
          <w:sz w:val="32"/>
          <w:szCs w:val="32"/>
        </w:rPr>
        <w:t>1.79</w:t>
      </w:r>
      <w:r>
        <w:rPr>
          <w:rFonts w:ascii="宋体" w:eastAsia="方正仿宋简体" w:hAnsi="宋体" w:cs="方正仿宋简体"/>
          <w:sz w:val="32"/>
          <w:szCs w:val="32"/>
        </w:rPr>
        <w:t>个百分点</w:t>
      </w:r>
      <w:r>
        <w:rPr>
          <w:rFonts w:ascii="宋体" w:eastAsia="方正仿宋简体" w:hAnsi="宋体" w:cs="方正仿宋简体" w:hint="eastAsia"/>
          <w:sz w:val="32"/>
          <w:szCs w:val="32"/>
        </w:rPr>
        <w:t>。全区有效发明专利</w:t>
      </w:r>
      <w:r>
        <w:rPr>
          <w:rFonts w:ascii="宋体" w:eastAsia="方正仿宋简体" w:hAnsi="宋体" w:cs="方正仿宋简体" w:hint="eastAsia"/>
          <w:sz w:val="32"/>
          <w:szCs w:val="32"/>
        </w:rPr>
        <w:t>1319</w:t>
      </w:r>
      <w:r>
        <w:rPr>
          <w:rFonts w:ascii="宋体" w:eastAsia="方正仿宋简体" w:hAnsi="宋体" w:cs="方正仿宋简体" w:hint="eastAsia"/>
          <w:sz w:val="32"/>
          <w:szCs w:val="32"/>
        </w:rPr>
        <w:t>件、高价值发明专利</w:t>
      </w:r>
      <w:r>
        <w:rPr>
          <w:rFonts w:ascii="宋体" w:eastAsia="方正仿宋简体" w:hAnsi="宋体" w:cs="方正仿宋简体" w:hint="eastAsia"/>
          <w:sz w:val="32"/>
          <w:szCs w:val="32"/>
        </w:rPr>
        <w:t>543</w:t>
      </w:r>
      <w:r>
        <w:rPr>
          <w:rFonts w:ascii="宋体" w:eastAsia="方正仿宋简体" w:hAnsi="宋体" w:cs="方正仿宋简体" w:hint="eastAsia"/>
          <w:sz w:val="32"/>
          <w:szCs w:val="32"/>
        </w:rPr>
        <w:t>件。技术攻关高效推进，聚焦钢铁、高端装备等主导产业，实施山钢股份海工装备用</w:t>
      </w:r>
      <w:r>
        <w:rPr>
          <w:rFonts w:ascii="宋体" w:eastAsia="方正仿宋简体" w:hAnsi="宋体" w:cs="方正仿宋简体" w:hint="eastAsia"/>
          <w:sz w:val="32"/>
          <w:szCs w:val="32"/>
        </w:rPr>
        <w:lastRenderedPageBreak/>
        <w:t>关键材料与焊接技术开发等</w:t>
      </w:r>
      <w:r>
        <w:rPr>
          <w:rFonts w:ascii="宋体" w:eastAsia="方正仿宋简体" w:hAnsi="宋体" w:cs="方正仿宋简体" w:hint="eastAsia"/>
          <w:sz w:val="32"/>
          <w:szCs w:val="32"/>
        </w:rPr>
        <w:t>29</w:t>
      </w:r>
      <w:r>
        <w:rPr>
          <w:rFonts w:ascii="宋体" w:eastAsia="方正仿宋简体" w:hAnsi="宋体" w:cs="方正仿宋简体" w:hint="eastAsia"/>
          <w:sz w:val="32"/>
          <w:szCs w:val="32"/>
        </w:rPr>
        <w:t>项省市科技计划项目。成果转化水平不断提高，入选国家科学技术进步奖、省技术发明奖、省科学技术进步奖等科技成果</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项，</w:t>
      </w:r>
      <w:r>
        <w:rPr>
          <w:rFonts w:ascii="宋体" w:eastAsia="方正仿宋简体" w:hAnsi="宋体" w:cs="方正仿宋简体" w:hint="eastAsia"/>
          <w:sz w:val="32"/>
          <w:szCs w:val="32"/>
        </w:rPr>
        <w:t>49</w:t>
      </w:r>
      <w:r>
        <w:rPr>
          <w:rFonts w:ascii="宋体" w:eastAsia="方正仿宋简体" w:hAnsi="宋体" w:cs="方正仿宋简体" w:hint="eastAsia"/>
          <w:sz w:val="32"/>
          <w:szCs w:val="32"/>
        </w:rPr>
        <w:t>项科技成果完成山东省科技成果登记，技术合同成交额累计突破</w:t>
      </w:r>
      <w:r>
        <w:rPr>
          <w:rFonts w:ascii="宋体" w:eastAsia="方正仿宋简体" w:hAnsi="宋体" w:cs="方正仿宋简体" w:hint="eastAsia"/>
          <w:sz w:val="32"/>
          <w:szCs w:val="32"/>
        </w:rPr>
        <w:t>37</w:t>
      </w:r>
      <w:r>
        <w:rPr>
          <w:rFonts w:ascii="宋体" w:eastAsia="方正仿宋简体" w:hAnsi="宋体" w:cs="方正仿宋简体" w:hint="eastAsia"/>
          <w:sz w:val="32"/>
          <w:szCs w:val="32"/>
        </w:rPr>
        <w:t>亿元。创新平台日趋完善，全区拥有省重点实验室</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家、市重点实验室</w:t>
      </w:r>
      <w:r>
        <w:rPr>
          <w:rFonts w:ascii="宋体" w:eastAsia="方正仿宋简体" w:hAnsi="宋体" w:cs="方正仿宋简体" w:hint="eastAsia"/>
          <w:sz w:val="32"/>
          <w:szCs w:val="32"/>
        </w:rPr>
        <w:t>16</w:t>
      </w:r>
      <w:r>
        <w:rPr>
          <w:rFonts w:ascii="宋体" w:eastAsia="方正仿宋简体" w:hAnsi="宋体" w:cs="方正仿宋简体" w:hint="eastAsia"/>
          <w:sz w:val="32"/>
          <w:szCs w:val="32"/>
        </w:rPr>
        <w:t>家、区重点实验室</w:t>
      </w:r>
      <w:r>
        <w:rPr>
          <w:rFonts w:ascii="宋体" w:eastAsia="方正仿宋简体" w:hAnsi="宋体" w:cs="方正仿宋简体" w:hint="eastAsia"/>
          <w:sz w:val="32"/>
          <w:szCs w:val="32"/>
        </w:rPr>
        <w:t>13</w:t>
      </w:r>
      <w:r>
        <w:rPr>
          <w:rFonts w:ascii="宋体" w:eastAsia="方正仿宋简体" w:hAnsi="宋体" w:cs="方正仿宋简体" w:hint="eastAsia"/>
          <w:sz w:val="32"/>
          <w:szCs w:val="32"/>
        </w:rPr>
        <w:t>家。人才队伍不断壮大，先后出台《关于加快建设“汶源英才”工程的实施意见》《钢城人才</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条政策措施》等政策，累计培育国家级人才</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人、泰山产业领军人才</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人、市级产业领军人才</w:t>
      </w:r>
      <w:r>
        <w:rPr>
          <w:rFonts w:ascii="宋体" w:eastAsia="方正仿宋简体" w:hAnsi="宋体" w:cs="方正仿宋简体" w:hint="eastAsia"/>
          <w:sz w:val="32"/>
          <w:szCs w:val="32"/>
        </w:rPr>
        <w:t>29</w:t>
      </w:r>
      <w:r>
        <w:rPr>
          <w:rFonts w:ascii="宋体" w:eastAsia="方正仿宋简体" w:hAnsi="宋体" w:cs="方正仿宋简体" w:hint="eastAsia"/>
          <w:sz w:val="32"/>
          <w:szCs w:val="32"/>
        </w:rPr>
        <w:t>人，新增人才总量</w:t>
      </w:r>
      <w:r>
        <w:rPr>
          <w:rFonts w:ascii="宋体" w:eastAsia="方正仿宋简体" w:hAnsi="宋体" w:cs="方正仿宋简体" w:hint="eastAsia"/>
          <w:sz w:val="32"/>
          <w:szCs w:val="32"/>
        </w:rPr>
        <w:t>9800</w:t>
      </w:r>
      <w:r>
        <w:rPr>
          <w:rFonts w:ascii="宋体" w:eastAsia="方正仿宋简体" w:hAnsi="宋体" w:cs="方正仿宋简体" w:hint="eastAsia"/>
          <w:sz w:val="32"/>
          <w:szCs w:val="32"/>
        </w:rPr>
        <w:t>余人，全区人才总量接近</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万人，较</w:t>
      </w:r>
      <w:r>
        <w:rPr>
          <w:rFonts w:ascii="宋体" w:eastAsia="方正仿宋简体" w:hAnsi="宋体" w:cs="方正仿宋简体" w:hint="eastAsia"/>
          <w:sz w:val="32"/>
          <w:szCs w:val="32"/>
        </w:rPr>
        <w:t>2020</w:t>
      </w:r>
      <w:r>
        <w:rPr>
          <w:rFonts w:ascii="宋体" w:eastAsia="方正仿宋简体" w:hAnsi="宋体" w:cs="方正仿宋简体" w:hint="eastAsia"/>
          <w:sz w:val="32"/>
          <w:szCs w:val="32"/>
        </w:rPr>
        <w:t>年增长近</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w:t>
      </w:r>
    </w:p>
    <w:p w14:paraId="344D28BA"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第四节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改革开放持续深化</w:t>
      </w:r>
    </w:p>
    <w:p w14:paraId="1263C497"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扎实推进“高效办成一件事”改革，</w:t>
      </w:r>
      <w:bookmarkStart w:id="35" w:name="OLE_LINK4"/>
      <w:bookmarkStart w:id="36" w:name="OLE_LINK3"/>
      <w:r>
        <w:rPr>
          <w:rFonts w:ascii="宋体" w:eastAsia="方正仿宋简体" w:hAnsi="宋体" w:cs="方正仿宋简体" w:hint="eastAsia"/>
          <w:sz w:val="32"/>
          <w:szCs w:val="32"/>
        </w:rPr>
        <w:t>61</w:t>
      </w:r>
      <w:r>
        <w:rPr>
          <w:rFonts w:ascii="宋体" w:eastAsia="方正仿宋简体" w:hAnsi="宋体" w:cs="方正仿宋简体" w:hint="eastAsia"/>
          <w:sz w:val="32"/>
          <w:szCs w:val="32"/>
        </w:rPr>
        <w:t>项“一件事”事项陆续落地运行</w:t>
      </w:r>
      <w:bookmarkEnd w:id="35"/>
      <w:bookmarkEnd w:id="36"/>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1347</w:t>
      </w:r>
      <w:r>
        <w:rPr>
          <w:rFonts w:ascii="宋体" w:eastAsia="方正仿宋简体" w:hAnsi="宋体" w:cs="方正仿宋简体" w:hint="eastAsia"/>
          <w:sz w:val="32"/>
          <w:szCs w:val="32"/>
        </w:rPr>
        <w:t>个事项实现全程网办，三级政务服务体系建设持续完善。深化农村“三变”改革，改革试点村达到</w:t>
      </w:r>
      <w:r>
        <w:rPr>
          <w:rFonts w:ascii="宋体" w:eastAsia="方正仿宋简体" w:hAnsi="宋体" w:cs="方正仿宋简体" w:hint="eastAsia"/>
          <w:sz w:val="32"/>
          <w:szCs w:val="32"/>
        </w:rPr>
        <w:t>190</w:t>
      </w:r>
      <w:r>
        <w:rPr>
          <w:rFonts w:ascii="宋体" w:eastAsia="方正仿宋简体" w:hAnsi="宋体" w:cs="方正仿宋简体" w:hint="eastAsia"/>
          <w:sz w:val="32"/>
          <w:szCs w:val="32"/>
        </w:rPr>
        <w:t>个，土地流转率超过</w:t>
      </w:r>
      <w:r>
        <w:rPr>
          <w:rFonts w:ascii="宋体" w:eastAsia="方正仿宋简体" w:hAnsi="宋体" w:cs="方正仿宋简体" w:hint="eastAsia"/>
          <w:sz w:val="32"/>
          <w:szCs w:val="32"/>
        </w:rPr>
        <w:t>50%</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2021</w:t>
      </w:r>
      <w:r>
        <w:rPr>
          <w:rFonts w:ascii="宋体" w:eastAsia="方正仿宋简体" w:hAnsi="宋体" w:cs="方正仿宋简体" w:hint="eastAsia"/>
          <w:sz w:val="32"/>
          <w:szCs w:val="32"/>
        </w:rPr>
        <w:t>年至</w:t>
      </w:r>
      <w:r>
        <w:rPr>
          <w:rFonts w:ascii="宋体" w:eastAsia="方正仿宋简体" w:hAnsi="宋体" w:cs="方正仿宋简体" w:hint="eastAsia"/>
          <w:sz w:val="32"/>
          <w:szCs w:val="32"/>
        </w:rPr>
        <w:t>2025</w:t>
      </w:r>
      <w:r>
        <w:rPr>
          <w:rFonts w:ascii="宋体" w:eastAsia="方正仿宋简体" w:hAnsi="宋体" w:cs="方正仿宋简体" w:hint="eastAsia"/>
          <w:sz w:val="32"/>
          <w:szCs w:val="32"/>
        </w:rPr>
        <w:t>年村集体收入</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万元以上的村占比从</w:t>
      </w:r>
      <w:r>
        <w:rPr>
          <w:rFonts w:ascii="宋体" w:eastAsia="方正仿宋简体" w:hAnsi="宋体" w:cs="方正仿宋简体" w:hint="eastAsia"/>
          <w:sz w:val="32"/>
          <w:szCs w:val="32"/>
        </w:rPr>
        <w:t>55.9%</w:t>
      </w:r>
      <w:r>
        <w:rPr>
          <w:rFonts w:ascii="宋体" w:eastAsia="方正仿宋简体" w:hAnsi="宋体" w:cs="方正仿宋简体" w:hint="eastAsia"/>
          <w:sz w:val="32"/>
          <w:szCs w:val="32"/>
        </w:rPr>
        <w:t>提升至</w:t>
      </w:r>
      <w:r>
        <w:rPr>
          <w:rFonts w:ascii="宋体" w:eastAsia="方正仿宋简体" w:hAnsi="宋体" w:cs="方正仿宋简体" w:hint="eastAsia"/>
          <w:sz w:val="32"/>
          <w:szCs w:val="32"/>
        </w:rPr>
        <w:t>96.2%</w:t>
      </w:r>
      <w:r>
        <w:rPr>
          <w:rFonts w:ascii="宋体" w:eastAsia="方正仿宋简体" w:hAnsi="宋体" w:cs="方正仿宋简体" w:hint="eastAsia"/>
          <w:sz w:val="32"/>
          <w:szCs w:val="32"/>
        </w:rPr>
        <w:t>。推进教育办学体制改革，成功引进山大基础教育集团开展深度合作办学，借力优质教育资源赋能区域教育提质。城市医疗集团建设取得积极成效，紧密型县域医共体建设稳步推进，</w:t>
      </w:r>
      <w:r>
        <w:rPr>
          <w:rFonts w:ascii="宋体" w:eastAsia="方正仿宋简体" w:hAnsi="宋体" w:cs="方正仿宋简体" w:hint="eastAsia"/>
          <w:sz w:val="32"/>
          <w:szCs w:val="32"/>
        </w:rPr>
        <w:t>8</w:t>
      </w:r>
      <w:r>
        <w:rPr>
          <w:rFonts w:ascii="宋体" w:eastAsia="方正仿宋简体" w:hAnsi="宋体" w:cs="方正仿宋简体" w:hint="eastAsia"/>
          <w:sz w:val="32"/>
          <w:szCs w:val="32"/>
        </w:rPr>
        <w:t>家一级及以上医疗机构全部与省部级知名医院建立合作关系。深化山东济南钢城经济开发区体制机制改革，推行“管委会＋公司”等运营模式，实行“大部门、扁平化”管</w:t>
      </w:r>
      <w:r>
        <w:rPr>
          <w:rFonts w:ascii="宋体" w:eastAsia="方正仿宋简体" w:hAnsi="宋体" w:cs="方正仿宋简体" w:hint="eastAsia"/>
          <w:sz w:val="32"/>
          <w:szCs w:val="32"/>
        </w:rPr>
        <w:lastRenderedPageBreak/>
        <w:t>理；构建人员能进能出、职务能上能下的市场化选人用人机制，推动薪酬管理体系改革，干事创业水平进一步提升。对外开放水平持续提升，新落地海乾车桥汽车后桥半轴等外资项目</w:t>
      </w:r>
      <w:r>
        <w:rPr>
          <w:rFonts w:ascii="宋体" w:eastAsia="方正仿宋简体" w:hAnsi="宋体" w:cs="方正仿宋简体" w:hint="eastAsia"/>
          <w:sz w:val="32"/>
          <w:szCs w:val="32"/>
        </w:rPr>
        <w:t>17</w:t>
      </w:r>
      <w:r>
        <w:rPr>
          <w:rFonts w:ascii="宋体" w:eastAsia="方正仿宋简体" w:hAnsi="宋体" w:cs="方正仿宋简体" w:hint="eastAsia"/>
          <w:sz w:val="32"/>
          <w:szCs w:val="32"/>
        </w:rPr>
        <w:t>个，外贸进出口总额年均增长</w:t>
      </w:r>
      <w:r>
        <w:rPr>
          <w:rFonts w:ascii="宋体" w:eastAsia="方正仿宋简体" w:hAnsi="宋体" w:cs="方正仿宋简体" w:hint="eastAsia"/>
          <w:sz w:val="32"/>
          <w:szCs w:val="32"/>
        </w:rPr>
        <w:t>18%</w:t>
      </w:r>
      <w:r>
        <w:rPr>
          <w:rFonts w:ascii="宋体" w:eastAsia="方正仿宋简体" w:hAnsi="宋体" w:cs="方正仿宋简体" w:hint="eastAsia"/>
          <w:sz w:val="32"/>
          <w:szCs w:val="32"/>
        </w:rPr>
        <w:t>。持续加强与甘肃省临夏州康乐县的东西部协作交流，钢城—新泰一体化高质量发展先行区建设上升为省级区域战略。</w:t>
      </w:r>
    </w:p>
    <w:p w14:paraId="4475A3AA"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第五节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城市品质大幅提升</w:t>
      </w:r>
    </w:p>
    <w:p w14:paraId="217718E9"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拓展城市发展空间，全域实现街道化。城市更新加快推进，城子坡片区入选第二批省级城市更新试点片区，南北城子坡安置区、保障性租赁住房等</w:t>
      </w:r>
      <w:r>
        <w:rPr>
          <w:rFonts w:ascii="宋体" w:eastAsia="方正仿宋简体" w:hAnsi="宋体" w:cs="方正仿宋简体" w:hint="eastAsia"/>
          <w:sz w:val="32"/>
          <w:szCs w:val="32"/>
        </w:rPr>
        <w:t>8</w:t>
      </w:r>
      <w:r>
        <w:rPr>
          <w:rFonts w:ascii="宋体" w:eastAsia="方正仿宋简体" w:hAnsi="宋体" w:cs="方正仿宋简体" w:hint="eastAsia"/>
          <w:sz w:val="32"/>
          <w:szCs w:val="32"/>
        </w:rPr>
        <w:t>个项目陆续交付，南部新城高家庄安置区、</w:t>
      </w:r>
      <w:r>
        <w:rPr>
          <w:rFonts w:ascii="宋体" w:eastAsia="宋体" w:hAnsi="宋体" w:cs="宋体" w:hint="eastAsia"/>
          <w:sz w:val="32"/>
          <w:szCs w:val="32"/>
        </w:rPr>
        <w:t>桲</w:t>
      </w:r>
      <w:r>
        <w:rPr>
          <w:rFonts w:ascii="宋体" w:eastAsia="方正仿宋简体" w:hAnsi="宋体" w:cs="方正仿宋简体" w:hint="eastAsia"/>
          <w:sz w:val="32"/>
          <w:szCs w:val="32"/>
        </w:rPr>
        <w:t>椤安置区等重点项目全面提速推进。城市配套不断完善，改造提升城市供水主管网</w:t>
      </w:r>
      <w:r>
        <w:rPr>
          <w:rFonts w:ascii="宋体" w:eastAsia="方正仿宋简体" w:hAnsi="宋体" w:cs="方正仿宋简体" w:hint="eastAsia"/>
          <w:sz w:val="32"/>
          <w:szCs w:val="32"/>
        </w:rPr>
        <w:t>44</w:t>
      </w:r>
      <w:r>
        <w:rPr>
          <w:rFonts w:ascii="宋体" w:eastAsia="方正仿宋简体" w:hAnsi="宋体" w:cs="方正仿宋简体" w:hint="eastAsia"/>
          <w:sz w:val="32"/>
          <w:szCs w:val="32"/>
        </w:rPr>
        <w:t>公里，完成</w:t>
      </w:r>
      <w:r>
        <w:rPr>
          <w:rFonts w:ascii="宋体" w:eastAsia="方正仿宋简体" w:hAnsi="宋体" w:cs="方正仿宋简体" w:hint="eastAsia"/>
          <w:sz w:val="32"/>
          <w:szCs w:val="32"/>
        </w:rPr>
        <w:t>31</w:t>
      </w:r>
      <w:r>
        <w:rPr>
          <w:rFonts w:ascii="宋体" w:eastAsia="方正仿宋简体" w:hAnsi="宋体" w:cs="方正仿宋简体" w:hint="eastAsia"/>
          <w:sz w:val="32"/>
          <w:szCs w:val="32"/>
        </w:rPr>
        <w:t>个老旧小区改造，实施</w:t>
      </w:r>
      <w:r>
        <w:rPr>
          <w:rFonts w:ascii="宋体" w:eastAsia="方正仿宋简体" w:hAnsi="宋体" w:cs="方正仿宋简体" w:hint="eastAsia"/>
          <w:sz w:val="32"/>
          <w:szCs w:val="32"/>
        </w:rPr>
        <w:t>65</w:t>
      </w:r>
      <w:r>
        <w:rPr>
          <w:rFonts w:ascii="宋体" w:eastAsia="方正仿宋简体" w:hAnsi="宋体" w:cs="方正仿宋简体" w:hint="eastAsia"/>
          <w:sz w:val="32"/>
          <w:szCs w:val="32"/>
        </w:rPr>
        <w:t>个小区供热、</w:t>
      </w:r>
      <w:r>
        <w:rPr>
          <w:rFonts w:ascii="宋体" w:eastAsia="方正仿宋简体" w:hAnsi="宋体" w:cs="方正仿宋简体" w:hint="eastAsia"/>
          <w:sz w:val="32"/>
          <w:szCs w:val="32"/>
        </w:rPr>
        <w:t>55</w:t>
      </w:r>
      <w:r>
        <w:rPr>
          <w:rFonts w:ascii="宋体" w:eastAsia="方正仿宋简体" w:hAnsi="宋体" w:cs="方正仿宋简体" w:hint="eastAsia"/>
          <w:sz w:val="32"/>
          <w:szCs w:val="32"/>
        </w:rPr>
        <w:t>个小区供水管网、</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个小区“一户一表”改造工程。济莱高铁建成通车并投入运营，开通钢城至济南主城区的区际公交线路，基本实现了“</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分钟到站、</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分钟乘车、</w:t>
      </w:r>
      <w:r>
        <w:rPr>
          <w:rFonts w:ascii="宋体" w:eastAsia="方正仿宋简体" w:hAnsi="宋体" w:cs="方正仿宋简体" w:hint="eastAsia"/>
          <w:sz w:val="32"/>
          <w:szCs w:val="32"/>
        </w:rPr>
        <w:t>30</w:t>
      </w:r>
      <w:r>
        <w:rPr>
          <w:rFonts w:ascii="宋体" w:eastAsia="方正仿宋简体" w:hAnsi="宋体" w:cs="方正仿宋简体" w:hint="eastAsia"/>
          <w:sz w:val="32"/>
          <w:szCs w:val="32"/>
        </w:rPr>
        <w:t>分钟到城区、</w:t>
      </w:r>
      <w:r>
        <w:rPr>
          <w:rFonts w:ascii="宋体" w:eastAsia="方正仿宋简体" w:hAnsi="宋体" w:cs="方正仿宋简体" w:hint="eastAsia"/>
          <w:sz w:val="32"/>
          <w:szCs w:val="32"/>
        </w:rPr>
        <w:t>100</w:t>
      </w:r>
      <w:r>
        <w:rPr>
          <w:rFonts w:ascii="宋体" w:eastAsia="方正仿宋简体" w:hAnsi="宋体" w:cs="方正仿宋简体" w:hint="eastAsia"/>
          <w:sz w:val="32"/>
          <w:szCs w:val="32"/>
        </w:rPr>
        <w:t>分钟到主城区”目标。完成钢都大街、新兴路、双泉路等</w:t>
      </w:r>
      <w:r>
        <w:rPr>
          <w:rFonts w:ascii="宋体" w:eastAsia="方正仿宋简体" w:hAnsi="宋体" w:cs="方正仿宋简体" w:hint="eastAsia"/>
          <w:sz w:val="32"/>
          <w:szCs w:val="32"/>
        </w:rPr>
        <w:t>12</w:t>
      </w:r>
      <w:r>
        <w:rPr>
          <w:rFonts w:ascii="宋体" w:eastAsia="方正仿宋简体" w:hAnsi="宋体" w:cs="方正仿宋简体" w:hint="eastAsia"/>
          <w:sz w:val="32"/>
          <w:szCs w:val="32"/>
        </w:rPr>
        <w:t>条、</w:t>
      </w:r>
      <w:r>
        <w:rPr>
          <w:rFonts w:ascii="宋体" w:eastAsia="方正仿宋简体" w:hAnsi="宋体" w:cs="方正仿宋简体" w:hint="eastAsia"/>
          <w:sz w:val="32"/>
          <w:szCs w:val="32"/>
        </w:rPr>
        <w:t>36</w:t>
      </w:r>
      <w:r>
        <w:rPr>
          <w:rFonts w:ascii="宋体" w:eastAsia="方正仿宋简体" w:hAnsi="宋体" w:cs="方正仿宋简体" w:hint="eastAsia"/>
          <w:sz w:val="32"/>
          <w:szCs w:val="32"/>
        </w:rPr>
        <w:t>公里主次干道和汶水路等</w:t>
      </w:r>
      <w:r>
        <w:rPr>
          <w:rFonts w:ascii="宋体" w:eastAsia="方正仿宋简体" w:hAnsi="宋体" w:cs="方正仿宋简体" w:hint="eastAsia"/>
          <w:sz w:val="32"/>
          <w:szCs w:val="32"/>
        </w:rPr>
        <w:t>16</w:t>
      </w:r>
      <w:r>
        <w:rPr>
          <w:rFonts w:ascii="宋体" w:eastAsia="方正仿宋简体" w:hAnsi="宋体" w:cs="方正仿宋简体" w:hint="eastAsia"/>
          <w:sz w:val="32"/>
          <w:szCs w:val="32"/>
        </w:rPr>
        <w:t>条、</w:t>
      </w:r>
      <w:r>
        <w:rPr>
          <w:rFonts w:ascii="宋体" w:eastAsia="方正仿宋简体" w:hAnsi="宋体" w:cs="方正仿宋简体" w:hint="eastAsia"/>
          <w:sz w:val="32"/>
          <w:szCs w:val="32"/>
        </w:rPr>
        <w:t>11</w:t>
      </w:r>
      <w:r>
        <w:rPr>
          <w:rFonts w:ascii="宋体" w:eastAsia="方正仿宋简体" w:hAnsi="宋体" w:cs="方正仿宋简体" w:hint="eastAsia"/>
          <w:sz w:val="32"/>
          <w:szCs w:val="32"/>
        </w:rPr>
        <w:t>公里城市小街小巷的提升改造。因地制宜建设栾家岭公园、黄羊山公园、磨石山公园、青年公园，增加绿化面积超</w:t>
      </w:r>
      <w:r>
        <w:rPr>
          <w:rFonts w:ascii="宋体" w:eastAsia="方正仿宋简体" w:hAnsi="宋体" w:cs="方正仿宋简体" w:hint="eastAsia"/>
          <w:sz w:val="32"/>
          <w:szCs w:val="32"/>
        </w:rPr>
        <w:t>51</w:t>
      </w:r>
      <w:r>
        <w:rPr>
          <w:rFonts w:ascii="宋体" w:eastAsia="方正仿宋简体" w:hAnsi="宋体" w:cs="方正仿宋简体" w:hint="eastAsia"/>
          <w:sz w:val="32"/>
          <w:szCs w:val="32"/>
        </w:rPr>
        <w:t>公顷，建成区绿地率达到</w:t>
      </w:r>
      <w:r>
        <w:rPr>
          <w:rFonts w:ascii="宋体" w:eastAsia="方正仿宋简体" w:hAnsi="宋体" w:cs="方正仿宋简体" w:hint="eastAsia"/>
          <w:sz w:val="32"/>
          <w:szCs w:val="32"/>
        </w:rPr>
        <w:t>49.8%</w:t>
      </w:r>
      <w:r>
        <w:rPr>
          <w:rFonts w:ascii="宋体" w:eastAsia="方正仿宋简体" w:hAnsi="宋体" w:cs="方正仿宋简体" w:hint="eastAsia"/>
          <w:sz w:val="32"/>
          <w:szCs w:val="32"/>
        </w:rPr>
        <w:t>。新建改造公共卫生间</w:t>
      </w:r>
      <w:r>
        <w:rPr>
          <w:rFonts w:ascii="宋体" w:eastAsia="方正仿宋简体" w:hAnsi="宋体" w:cs="方正仿宋简体" w:hint="eastAsia"/>
          <w:sz w:val="32"/>
          <w:szCs w:val="32"/>
        </w:rPr>
        <w:t>37</w:t>
      </w:r>
      <w:r>
        <w:rPr>
          <w:rFonts w:ascii="宋体" w:eastAsia="方正仿宋简体" w:hAnsi="宋体" w:cs="方正仿宋简体" w:hint="eastAsia"/>
          <w:sz w:val="32"/>
          <w:szCs w:val="32"/>
        </w:rPr>
        <w:t>座，建成生活垃圾分类亭（房）</w:t>
      </w:r>
      <w:r>
        <w:rPr>
          <w:rFonts w:ascii="宋体" w:eastAsia="方正仿宋简体" w:hAnsi="宋体" w:cs="方正仿宋简体" w:hint="eastAsia"/>
          <w:sz w:val="32"/>
          <w:szCs w:val="32"/>
        </w:rPr>
        <w:t>620</w:t>
      </w:r>
      <w:r>
        <w:rPr>
          <w:rFonts w:ascii="宋体" w:eastAsia="方正仿宋简体" w:hAnsi="宋体" w:cs="方正仿宋简体" w:hint="eastAsia"/>
          <w:sz w:val="32"/>
          <w:szCs w:val="32"/>
        </w:rPr>
        <w:t>处，设置便民疏导点</w:t>
      </w:r>
      <w:r>
        <w:rPr>
          <w:rFonts w:ascii="宋体" w:eastAsia="方正仿宋简体" w:hAnsi="宋体" w:cs="方正仿宋简体" w:hint="eastAsia"/>
          <w:sz w:val="32"/>
          <w:szCs w:val="32"/>
        </w:rPr>
        <w:t>16</w:t>
      </w:r>
      <w:r>
        <w:rPr>
          <w:rFonts w:ascii="宋体" w:eastAsia="方正仿宋简体" w:hAnsi="宋体" w:cs="方正仿宋简体" w:hint="eastAsia"/>
          <w:sz w:val="32"/>
          <w:szCs w:val="32"/>
        </w:rPr>
        <w:t>处，完成</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个便民市场改造升</w:t>
      </w:r>
      <w:r>
        <w:rPr>
          <w:rFonts w:ascii="宋体" w:eastAsia="方正仿宋简体" w:hAnsi="宋体" w:cs="方正仿宋简体" w:hint="eastAsia"/>
          <w:sz w:val="32"/>
          <w:szCs w:val="32"/>
        </w:rPr>
        <w:lastRenderedPageBreak/>
        <w:t>级，安装路灯</w:t>
      </w:r>
      <w:r>
        <w:rPr>
          <w:rFonts w:ascii="宋体" w:eastAsia="方正仿宋简体" w:hAnsi="宋体" w:cs="方正仿宋简体" w:hint="eastAsia"/>
          <w:sz w:val="32"/>
          <w:szCs w:val="32"/>
        </w:rPr>
        <w:t>5200</w:t>
      </w:r>
      <w:r>
        <w:rPr>
          <w:rFonts w:ascii="宋体" w:eastAsia="方正仿宋简体" w:hAnsi="宋体" w:cs="方正仿宋简体" w:hint="eastAsia"/>
          <w:sz w:val="32"/>
          <w:szCs w:val="32"/>
        </w:rPr>
        <w:t>杆。城市管理更加精细，大力开展“十六项提升行动”，完成建筑外立面粉刷</w:t>
      </w:r>
      <w:r>
        <w:rPr>
          <w:rFonts w:ascii="宋体" w:eastAsia="方正仿宋简体" w:hAnsi="宋体" w:cs="方正仿宋简体" w:hint="eastAsia"/>
          <w:sz w:val="32"/>
          <w:szCs w:val="32"/>
        </w:rPr>
        <w:t>18</w:t>
      </w:r>
      <w:r>
        <w:rPr>
          <w:rFonts w:ascii="宋体" w:eastAsia="方正仿宋简体" w:hAnsi="宋体" w:cs="方正仿宋简体" w:hint="eastAsia"/>
          <w:sz w:val="32"/>
          <w:szCs w:val="32"/>
        </w:rPr>
        <w:t>万平方米、亮化</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万平方米，整治背街小巷</w:t>
      </w:r>
      <w:r>
        <w:rPr>
          <w:rFonts w:ascii="宋体" w:eastAsia="方正仿宋简体" w:hAnsi="宋体" w:cs="方正仿宋简体" w:hint="eastAsia"/>
          <w:sz w:val="32"/>
          <w:szCs w:val="32"/>
        </w:rPr>
        <w:t>22</w:t>
      </w:r>
      <w:r>
        <w:rPr>
          <w:rFonts w:ascii="宋体" w:eastAsia="方正仿宋简体" w:hAnsi="宋体" w:cs="方正仿宋简体" w:hint="eastAsia"/>
          <w:sz w:val="32"/>
          <w:szCs w:val="32"/>
        </w:rPr>
        <w:t>条，主次干道机械化保洁率达</w:t>
      </w:r>
      <w:r>
        <w:rPr>
          <w:rFonts w:ascii="宋体" w:eastAsia="方正仿宋简体" w:hAnsi="宋体" w:cs="方正仿宋简体" w:hint="eastAsia"/>
          <w:sz w:val="32"/>
          <w:szCs w:val="32"/>
        </w:rPr>
        <w:t>100%</w:t>
      </w:r>
      <w:r>
        <w:rPr>
          <w:rFonts w:ascii="宋体" w:eastAsia="方正仿宋简体" w:hAnsi="宋体" w:cs="方正仿宋简体" w:hint="eastAsia"/>
          <w:sz w:val="32"/>
          <w:szCs w:val="32"/>
        </w:rPr>
        <w:t>，健全生活垃圾分类收运体系，实行建筑垃圾全过程管理，市民满意度不断提升。</w:t>
      </w:r>
    </w:p>
    <w:p w14:paraId="42FF680A"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第六节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乡村振兴扎实推进</w:t>
      </w:r>
    </w:p>
    <w:p w14:paraId="252D7937"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全面落实耕地保护和粮食安全责任，粮食作物种植面积达</w:t>
      </w:r>
      <w:r>
        <w:rPr>
          <w:rFonts w:ascii="宋体" w:eastAsia="方正仿宋简体" w:hAnsi="宋体" w:cs="方正仿宋简体" w:hint="eastAsia"/>
          <w:sz w:val="32"/>
          <w:szCs w:val="32"/>
        </w:rPr>
        <w:t>6.56</w:t>
      </w:r>
      <w:r>
        <w:rPr>
          <w:rFonts w:ascii="宋体" w:eastAsia="方正仿宋简体" w:hAnsi="宋体" w:cs="方正仿宋简体" w:hint="eastAsia"/>
          <w:sz w:val="32"/>
          <w:szCs w:val="32"/>
        </w:rPr>
        <w:t>万亩，新建设高标准农田</w:t>
      </w:r>
      <w:r>
        <w:rPr>
          <w:rFonts w:ascii="宋体" w:eastAsia="方正仿宋简体" w:hAnsi="宋体" w:cs="方正仿宋简体" w:hint="eastAsia"/>
          <w:sz w:val="32"/>
          <w:szCs w:val="32"/>
        </w:rPr>
        <w:t>1.85</w:t>
      </w:r>
      <w:r>
        <w:rPr>
          <w:rFonts w:ascii="宋体" w:eastAsia="方正仿宋简体" w:hAnsi="宋体" w:cs="方正仿宋简体" w:hint="eastAsia"/>
          <w:sz w:val="32"/>
          <w:szCs w:val="32"/>
        </w:rPr>
        <w:t>万亩，总产量达</w:t>
      </w:r>
      <w:r>
        <w:rPr>
          <w:rFonts w:ascii="宋体" w:eastAsia="方正仿宋简体" w:hAnsi="宋体" w:cs="方正仿宋简体" w:hint="eastAsia"/>
          <w:sz w:val="32"/>
          <w:szCs w:val="32"/>
        </w:rPr>
        <w:t>2.6</w:t>
      </w:r>
      <w:r>
        <w:rPr>
          <w:rFonts w:ascii="宋体" w:eastAsia="方正仿宋简体" w:hAnsi="宋体" w:cs="方正仿宋简体" w:hint="eastAsia"/>
          <w:sz w:val="32"/>
          <w:szCs w:val="32"/>
        </w:rPr>
        <w:t>万吨。农作物机械化率达到</w:t>
      </w:r>
      <w:r>
        <w:rPr>
          <w:rFonts w:ascii="宋体" w:eastAsia="方正仿宋简体" w:hAnsi="宋体" w:cs="方正仿宋简体" w:hint="eastAsia"/>
          <w:sz w:val="32"/>
          <w:szCs w:val="32"/>
        </w:rPr>
        <w:t>94%</w:t>
      </w:r>
      <w:r>
        <w:rPr>
          <w:rFonts w:ascii="宋体" w:eastAsia="方正仿宋简体" w:hAnsi="宋体" w:cs="方正仿宋简体" w:hint="eastAsia"/>
          <w:sz w:val="32"/>
          <w:szCs w:val="32"/>
        </w:rPr>
        <w:t>以上，成功创建全国主要农作物生产全程机械化示范县（市、区）、全省“两全两高”农业机械化示范县（市、区）。莱芜黑猪、黑鸡、黑山羊列入国家级遗传资源保护名录，省级现代农业产业园顺利验收，认证“三品一标”农产品</w:t>
      </w:r>
      <w:r>
        <w:rPr>
          <w:rFonts w:ascii="宋体" w:eastAsia="方正仿宋简体" w:hAnsi="宋体" w:cs="方正仿宋简体" w:hint="eastAsia"/>
          <w:sz w:val="32"/>
          <w:szCs w:val="32"/>
        </w:rPr>
        <w:t>70</w:t>
      </w:r>
      <w:r>
        <w:rPr>
          <w:rFonts w:ascii="宋体" w:eastAsia="方正仿宋简体" w:hAnsi="宋体" w:cs="方正仿宋简体" w:hint="eastAsia"/>
          <w:sz w:val="32"/>
          <w:szCs w:val="32"/>
        </w:rPr>
        <w:t>个，培育</w:t>
      </w:r>
      <w:r>
        <w:rPr>
          <w:rFonts w:ascii="宋体" w:eastAsia="方正仿宋简体" w:hAnsi="宋体" w:cs="方正仿宋简体" w:hint="eastAsia"/>
          <w:sz w:val="32"/>
          <w:szCs w:val="32"/>
        </w:rPr>
        <w:t>400</w:t>
      </w:r>
      <w:r>
        <w:rPr>
          <w:rFonts w:ascii="宋体" w:eastAsia="方正仿宋简体" w:hAnsi="宋体" w:cs="方正仿宋简体" w:hint="eastAsia"/>
          <w:sz w:val="32"/>
          <w:szCs w:val="32"/>
        </w:rPr>
        <w:t>家家庭农场、</w:t>
      </w:r>
      <w:r>
        <w:rPr>
          <w:rFonts w:ascii="宋体" w:eastAsia="方正仿宋简体" w:hAnsi="宋体" w:cs="方正仿宋简体" w:hint="eastAsia"/>
          <w:sz w:val="32"/>
          <w:szCs w:val="32"/>
        </w:rPr>
        <w:t>573</w:t>
      </w:r>
      <w:r>
        <w:rPr>
          <w:rFonts w:ascii="宋体" w:eastAsia="方正仿宋简体" w:hAnsi="宋体" w:cs="方正仿宋简体" w:hint="eastAsia"/>
          <w:sz w:val="32"/>
          <w:szCs w:val="32"/>
        </w:rPr>
        <w:t>家合作社，农林牧渔业总产值年均增长近</w:t>
      </w:r>
      <w:r>
        <w:rPr>
          <w:rFonts w:ascii="宋体" w:eastAsia="方正仿宋简体" w:hAnsi="宋体" w:cs="方正仿宋简体" w:hint="eastAsia"/>
          <w:sz w:val="32"/>
          <w:szCs w:val="32"/>
        </w:rPr>
        <w:t>5%</w:t>
      </w:r>
      <w:r>
        <w:rPr>
          <w:rFonts w:ascii="宋体" w:eastAsia="方正仿宋简体" w:hAnsi="宋体" w:cs="方正仿宋简体" w:hint="eastAsia"/>
          <w:sz w:val="32"/>
          <w:szCs w:val="32"/>
        </w:rPr>
        <w:t>。乡村振兴示范片区建设有序推进，实施“花开辛庄”、“汶水桃源”、“九龙观澜”、“龙韵田园”</w:t>
      </w:r>
      <w:r>
        <w:rPr>
          <w:rFonts w:ascii="宋体" w:eastAsia="方正仿宋简体" w:hAnsi="宋体" w:cs="方正仿宋简体" w:hint="eastAsia"/>
          <w:sz w:val="32"/>
          <w:szCs w:val="32"/>
        </w:rPr>
        <w:t>4</w:t>
      </w:r>
      <w:r>
        <w:rPr>
          <w:rFonts w:ascii="宋体" w:eastAsia="方正仿宋简体" w:hAnsi="宋体" w:cs="方正仿宋简体" w:hint="eastAsia"/>
          <w:sz w:val="32"/>
          <w:szCs w:val="32"/>
        </w:rPr>
        <w:t>个齐鲁样板示范区、衔接乡村振兴推进区，建成乔店村等乡村振兴齐鲁样板村</w:t>
      </w:r>
      <w:r>
        <w:rPr>
          <w:rFonts w:ascii="宋体" w:eastAsia="方正仿宋简体" w:hAnsi="宋体" w:cs="方正仿宋简体" w:hint="eastAsia"/>
          <w:sz w:val="32"/>
          <w:szCs w:val="32"/>
        </w:rPr>
        <w:t>12</w:t>
      </w:r>
      <w:r>
        <w:rPr>
          <w:rFonts w:ascii="宋体" w:eastAsia="方正仿宋简体" w:hAnsi="宋体" w:cs="方正仿宋简体" w:hint="eastAsia"/>
          <w:sz w:val="32"/>
          <w:szCs w:val="32"/>
        </w:rPr>
        <w:t>个、柳桥峪村等省级和美乡村</w:t>
      </w:r>
      <w:r>
        <w:rPr>
          <w:rFonts w:ascii="宋体" w:eastAsia="方正仿宋简体" w:hAnsi="宋体" w:cs="方正仿宋简体" w:hint="eastAsia"/>
          <w:sz w:val="32"/>
          <w:szCs w:val="32"/>
        </w:rPr>
        <w:t>24</w:t>
      </w:r>
      <w:r>
        <w:rPr>
          <w:rFonts w:ascii="宋体" w:eastAsia="方正仿宋简体" w:hAnsi="宋体" w:cs="方正仿宋简体" w:hint="eastAsia"/>
          <w:sz w:val="32"/>
          <w:szCs w:val="32"/>
        </w:rPr>
        <w:t>个，获评全省“整县域推进乡村生态振兴”优秀等次。通行品质大幅提升，完成农村公路新改建</w:t>
      </w:r>
      <w:r>
        <w:rPr>
          <w:rFonts w:ascii="宋体" w:eastAsia="方正仿宋简体" w:hAnsi="宋体" w:cs="方正仿宋简体" w:hint="eastAsia"/>
          <w:sz w:val="32"/>
          <w:szCs w:val="32"/>
        </w:rPr>
        <w:t>143</w:t>
      </w:r>
      <w:r>
        <w:rPr>
          <w:rFonts w:ascii="宋体" w:eastAsia="方正仿宋简体" w:hAnsi="宋体" w:cs="方正仿宋简体" w:hint="eastAsia"/>
          <w:sz w:val="32"/>
          <w:szCs w:val="32"/>
        </w:rPr>
        <w:t>公里、大中修</w:t>
      </w:r>
      <w:r>
        <w:rPr>
          <w:rFonts w:ascii="宋体" w:eastAsia="方正仿宋简体" w:hAnsi="宋体" w:cs="方正仿宋简体" w:hint="eastAsia"/>
          <w:sz w:val="32"/>
          <w:szCs w:val="32"/>
        </w:rPr>
        <w:t>350</w:t>
      </w:r>
      <w:r>
        <w:rPr>
          <w:rFonts w:ascii="宋体" w:eastAsia="方正仿宋简体" w:hAnsi="宋体" w:cs="方正仿宋简体" w:hint="eastAsia"/>
          <w:sz w:val="32"/>
          <w:szCs w:val="32"/>
        </w:rPr>
        <w:t>公里、安防工程</w:t>
      </w:r>
      <w:r>
        <w:rPr>
          <w:rFonts w:ascii="宋体" w:eastAsia="方正仿宋简体" w:hAnsi="宋体" w:cs="方正仿宋简体" w:hint="eastAsia"/>
          <w:sz w:val="32"/>
          <w:szCs w:val="32"/>
        </w:rPr>
        <w:t>256</w:t>
      </w:r>
      <w:r>
        <w:rPr>
          <w:rFonts w:ascii="宋体" w:eastAsia="方正仿宋简体" w:hAnsi="宋体" w:cs="方正仿宋简体" w:hint="eastAsia"/>
          <w:sz w:val="32"/>
          <w:szCs w:val="32"/>
        </w:rPr>
        <w:t>公里，改造危桥</w:t>
      </w:r>
      <w:r>
        <w:rPr>
          <w:rFonts w:ascii="宋体" w:eastAsia="方正仿宋简体" w:hAnsi="宋体" w:cs="方正仿宋简体" w:hint="eastAsia"/>
          <w:sz w:val="32"/>
          <w:szCs w:val="32"/>
        </w:rPr>
        <w:t>11</w:t>
      </w:r>
      <w:r>
        <w:rPr>
          <w:rFonts w:ascii="宋体" w:eastAsia="方正仿宋简体" w:hAnsi="宋体" w:cs="方正仿宋简体" w:hint="eastAsia"/>
          <w:sz w:val="32"/>
          <w:szCs w:val="32"/>
        </w:rPr>
        <w:t>座。创新农村道路融合发展模式，“四好农村路”建设入选“全国农村公路助力共同富裕典型案例”，九龙山旅游路获评</w:t>
      </w:r>
      <w:r>
        <w:rPr>
          <w:rFonts w:ascii="宋体" w:eastAsia="方正仿宋简体" w:hAnsi="宋体" w:cs="方正仿宋简体" w:hint="eastAsia"/>
          <w:sz w:val="32"/>
          <w:szCs w:val="32"/>
        </w:rPr>
        <w:lastRenderedPageBreak/>
        <w:t>全国“最美回乡路”典型案例。农村供水一体化建设实现全覆盖，铺设供水管网</w:t>
      </w:r>
      <w:r>
        <w:rPr>
          <w:rFonts w:ascii="宋体" w:eastAsia="方正仿宋简体" w:hAnsi="宋体" w:cs="方正仿宋简体" w:hint="eastAsia"/>
          <w:sz w:val="32"/>
          <w:szCs w:val="32"/>
        </w:rPr>
        <w:t>3852</w:t>
      </w:r>
      <w:r>
        <w:rPr>
          <w:rFonts w:ascii="宋体" w:eastAsia="方正仿宋简体" w:hAnsi="宋体" w:cs="方正仿宋简体" w:hint="eastAsia"/>
          <w:sz w:val="32"/>
          <w:szCs w:val="32"/>
        </w:rPr>
        <w:t>公里，农村供水规模化率、水质达标率、县域统管率均达到</w:t>
      </w:r>
      <w:r>
        <w:rPr>
          <w:rFonts w:ascii="宋体" w:eastAsia="方正仿宋简体" w:hAnsi="宋体" w:cs="方正仿宋简体" w:hint="eastAsia"/>
          <w:sz w:val="32"/>
          <w:szCs w:val="32"/>
        </w:rPr>
        <w:t>100%</w:t>
      </w:r>
      <w:r>
        <w:rPr>
          <w:rFonts w:ascii="宋体" w:eastAsia="方正仿宋简体" w:hAnsi="宋体" w:cs="方正仿宋简体" w:hint="eastAsia"/>
          <w:sz w:val="32"/>
          <w:szCs w:val="32"/>
        </w:rPr>
        <w:t>。金水河水库打造成为国家级现代化水库运行管理矩阵建设试点，金水河水厂、恒胜水厂分别获评国家级、省级农村供水标准化管理工程。守牢脱贫攻坚成果底线，差异化落实教育、医疗、养老等帮扶措施，监测帮扶对象占比率全市第一。</w:t>
      </w:r>
    </w:p>
    <w:p w14:paraId="12A0A66E"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第七节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生态环境显著改善</w:t>
      </w:r>
    </w:p>
    <w:p w14:paraId="16EFA990"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深入实施黄河流域生态保护和高质量发展战略，完成大汶河干流及</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条支流综合治理项目，大汶河、棋山河、港里河获评省级美丽幸福河湖。实施污水处理厂提标改造工程，提升改造雨污合流管网</w:t>
      </w:r>
      <w:r>
        <w:rPr>
          <w:rFonts w:ascii="宋体" w:eastAsia="方正仿宋简体" w:hAnsi="宋体" w:cs="方正仿宋简体" w:hint="eastAsia"/>
          <w:sz w:val="32"/>
          <w:szCs w:val="32"/>
        </w:rPr>
        <w:t>39.6</w:t>
      </w:r>
      <w:r>
        <w:rPr>
          <w:rFonts w:ascii="宋体" w:eastAsia="方正仿宋简体" w:hAnsi="宋体" w:cs="方正仿宋简体" w:hint="eastAsia"/>
          <w:sz w:val="32"/>
          <w:szCs w:val="32"/>
        </w:rPr>
        <w:t>公里。严格落实河湖长制，河道水质得到明显改善，优良水体比例、水质达标率</w:t>
      </w:r>
      <w:r>
        <w:rPr>
          <w:rFonts w:ascii="宋体" w:eastAsia="方正仿宋简体" w:hAnsi="宋体" w:cs="方正仿宋简体" w:hint="eastAsia"/>
          <w:sz w:val="32"/>
          <w:szCs w:val="32"/>
        </w:rPr>
        <w:t>100%</w:t>
      </w:r>
      <w:r>
        <w:rPr>
          <w:rFonts w:ascii="宋体" w:eastAsia="方正仿宋简体" w:hAnsi="宋体" w:cs="方正仿宋简体" w:hint="eastAsia"/>
          <w:sz w:val="32"/>
          <w:szCs w:val="32"/>
        </w:rPr>
        <w:t>。强化水资源刚性约束，累计核减用水指标</w:t>
      </w:r>
      <w:r>
        <w:rPr>
          <w:rFonts w:ascii="宋体" w:eastAsia="方正仿宋简体" w:hAnsi="宋体" w:cs="方正仿宋简体" w:hint="eastAsia"/>
          <w:sz w:val="32"/>
          <w:szCs w:val="32"/>
        </w:rPr>
        <w:t>800</w:t>
      </w:r>
      <w:r>
        <w:rPr>
          <w:rFonts w:ascii="宋体" w:eastAsia="方正仿宋简体" w:hAnsi="宋体" w:cs="方正仿宋简体" w:hint="eastAsia"/>
          <w:sz w:val="32"/>
          <w:szCs w:val="32"/>
        </w:rPr>
        <w:t>万方，万元国内生产总值、万元工业增加值用水量较</w:t>
      </w:r>
      <w:r>
        <w:rPr>
          <w:rFonts w:ascii="宋体" w:eastAsia="方正仿宋简体" w:hAnsi="宋体" w:cs="方正仿宋简体" w:hint="eastAsia"/>
          <w:sz w:val="32"/>
          <w:szCs w:val="32"/>
        </w:rPr>
        <w:t>2020</w:t>
      </w:r>
      <w:r>
        <w:rPr>
          <w:rFonts w:ascii="宋体" w:eastAsia="方正仿宋简体" w:hAnsi="宋体" w:cs="方正仿宋简体" w:hint="eastAsia"/>
          <w:sz w:val="32"/>
          <w:szCs w:val="32"/>
        </w:rPr>
        <w:t>年分别下降</w:t>
      </w:r>
      <w:r>
        <w:rPr>
          <w:rFonts w:ascii="宋体" w:eastAsia="方正仿宋简体" w:hAnsi="宋体" w:cs="方正仿宋简体" w:hint="eastAsia"/>
          <w:sz w:val="32"/>
          <w:szCs w:val="32"/>
        </w:rPr>
        <w:t>13%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11%</w:t>
      </w:r>
      <w:r>
        <w:rPr>
          <w:rFonts w:ascii="宋体" w:eastAsia="方正仿宋简体" w:hAnsi="宋体" w:cs="方正仿宋简体" w:hint="eastAsia"/>
          <w:sz w:val="32"/>
          <w:szCs w:val="32"/>
        </w:rPr>
        <w:t>，获评全国节水型社会建设达标县（市、区）。精品钢产业全流程达到环保绩效</w:t>
      </w:r>
      <w:r>
        <w:rPr>
          <w:rFonts w:ascii="宋体" w:eastAsia="方正仿宋简体" w:hAnsi="宋体" w:cs="方正仿宋简体" w:hint="eastAsia"/>
          <w:sz w:val="32"/>
          <w:szCs w:val="32"/>
        </w:rPr>
        <w:t>A</w:t>
      </w:r>
      <w:r>
        <w:rPr>
          <w:rFonts w:ascii="宋体" w:eastAsia="方正仿宋简体" w:hAnsi="宋体" w:cs="方正仿宋简体" w:hint="eastAsia"/>
          <w:sz w:val="32"/>
          <w:szCs w:val="32"/>
        </w:rPr>
        <w:t>级标准，空气质量综合指数排名全市前列，获评全省深入打好污染防治攻坚战先进县（市、区）。累计完成造林绿化面积</w:t>
      </w:r>
      <w:r>
        <w:rPr>
          <w:rFonts w:ascii="宋体" w:eastAsia="方正仿宋简体" w:hAnsi="宋体" w:cs="方正仿宋简体" w:hint="eastAsia"/>
          <w:sz w:val="32"/>
          <w:szCs w:val="32"/>
        </w:rPr>
        <w:t>0.59</w:t>
      </w:r>
      <w:r>
        <w:rPr>
          <w:rFonts w:ascii="宋体" w:eastAsia="方正仿宋简体" w:hAnsi="宋体" w:cs="方正仿宋简体" w:hint="eastAsia"/>
          <w:sz w:val="32"/>
          <w:szCs w:val="32"/>
        </w:rPr>
        <w:t>万亩、退化林修复</w:t>
      </w:r>
      <w:r>
        <w:rPr>
          <w:rFonts w:ascii="宋体" w:eastAsia="方正仿宋简体" w:hAnsi="宋体" w:cs="方正仿宋简体" w:hint="eastAsia"/>
          <w:sz w:val="32"/>
          <w:szCs w:val="32"/>
        </w:rPr>
        <w:t>1120.4</w:t>
      </w:r>
      <w:r>
        <w:rPr>
          <w:rFonts w:ascii="宋体" w:eastAsia="方正仿宋简体" w:hAnsi="宋体" w:cs="方正仿宋简体" w:hint="eastAsia"/>
          <w:sz w:val="32"/>
          <w:szCs w:val="32"/>
        </w:rPr>
        <w:t>亩、森林抚育</w:t>
      </w:r>
      <w:r>
        <w:rPr>
          <w:rFonts w:ascii="宋体" w:eastAsia="方正仿宋简体" w:hAnsi="宋体" w:cs="方正仿宋简体" w:hint="eastAsia"/>
          <w:sz w:val="32"/>
          <w:szCs w:val="32"/>
        </w:rPr>
        <w:t>2.85</w:t>
      </w:r>
      <w:r>
        <w:rPr>
          <w:rFonts w:ascii="宋体" w:eastAsia="方正仿宋简体" w:hAnsi="宋体" w:cs="方正仿宋简体" w:hint="eastAsia"/>
          <w:sz w:val="32"/>
          <w:szCs w:val="32"/>
        </w:rPr>
        <w:t>万亩，建成国家级、省级绿色矿山</w:t>
      </w:r>
      <w:r>
        <w:rPr>
          <w:rFonts w:ascii="宋体" w:eastAsia="方正仿宋简体" w:hAnsi="宋体" w:cs="方正仿宋简体" w:hint="eastAsia"/>
          <w:sz w:val="32"/>
          <w:szCs w:val="32"/>
        </w:rPr>
        <w:t>4</w:t>
      </w:r>
      <w:r>
        <w:rPr>
          <w:rFonts w:ascii="宋体" w:eastAsia="方正仿宋简体" w:hAnsi="宋体" w:cs="方正仿宋简体" w:hint="eastAsia"/>
          <w:sz w:val="32"/>
          <w:szCs w:val="32"/>
        </w:rPr>
        <w:t>处。治理水土流失面积</w:t>
      </w:r>
      <w:r>
        <w:rPr>
          <w:rFonts w:ascii="宋体" w:eastAsia="方正仿宋简体" w:hAnsi="宋体" w:cs="方正仿宋简体" w:hint="eastAsia"/>
          <w:sz w:val="32"/>
          <w:szCs w:val="32"/>
        </w:rPr>
        <w:t>78.67</w:t>
      </w:r>
      <w:r>
        <w:rPr>
          <w:rFonts w:ascii="宋体" w:eastAsia="方正仿宋简体" w:hAnsi="宋体" w:cs="方正仿宋简体" w:hint="eastAsia"/>
          <w:sz w:val="32"/>
          <w:szCs w:val="32"/>
        </w:rPr>
        <w:t>平方公里，完成全市首单水土保持生态产品价值转化。严控严管新增“两高”项目，全区能耗强度下降</w:t>
      </w:r>
      <w:r>
        <w:rPr>
          <w:rFonts w:ascii="宋体" w:eastAsia="方正仿宋简体" w:hAnsi="宋体" w:cs="方正仿宋简体" w:hint="eastAsia"/>
          <w:sz w:val="32"/>
          <w:szCs w:val="32"/>
        </w:rPr>
        <w:t>27.9%</w:t>
      </w:r>
      <w:r>
        <w:rPr>
          <w:rFonts w:ascii="宋体" w:eastAsia="方正仿宋简体" w:hAnsi="宋体" w:cs="方正仿宋简体" w:hint="eastAsia"/>
          <w:sz w:val="32"/>
          <w:szCs w:val="32"/>
        </w:rPr>
        <w:t>，煤炭消费累计压减</w:t>
      </w:r>
      <w:r>
        <w:rPr>
          <w:rFonts w:ascii="宋体" w:eastAsia="方正仿宋简体" w:hAnsi="宋体" w:cs="方正仿宋简体" w:hint="eastAsia"/>
          <w:sz w:val="32"/>
          <w:szCs w:val="32"/>
        </w:rPr>
        <w:t>66.6</w:t>
      </w:r>
      <w:r>
        <w:rPr>
          <w:rFonts w:ascii="宋体" w:eastAsia="方正仿宋简体" w:hAnsi="宋体" w:cs="方正仿宋简体" w:hint="eastAsia"/>
          <w:sz w:val="32"/>
          <w:szCs w:val="32"/>
        </w:rPr>
        <w:t>万吨，完成“十四五”</w:t>
      </w:r>
      <w:r>
        <w:rPr>
          <w:rFonts w:ascii="宋体" w:eastAsia="方正仿宋简体" w:hAnsi="宋体" w:cs="方正仿宋简体" w:hint="eastAsia"/>
          <w:sz w:val="32"/>
          <w:szCs w:val="32"/>
        </w:rPr>
        <w:lastRenderedPageBreak/>
        <w:t>目标任务。新增各级绿色工厂</w:t>
      </w:r>
      <w:r>
        <w:rPr>
          <w:rFonts w:ascii="宋体" w:eastAsia="方正仿宋简体" w:hAnsi="宋体" w:cs="方正仿宋简体" w:hint="eastAsia"/>
          <w:sz w:val="32"/>
          <w:szCs w:val="32"/>
        </w:rPr>
        <w:t>24</w:t>
      </w:r>
      <w:r>
        <w:rPr>
          <w:rFonts w:ascii="宋体" w:eastAsia="方正仿宋简体" w:hAnsi="宋体" w:cs="方正仿宋简体" w:hint="eastAsia"/>
          <w:sz w:val="32"/>
          <w:szCs w:val="32"/>
        </w:rPr>
        <w:t>个、各级绿色园区</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个、市级绿色供应链管理企业</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家。</w:t>
      </w:r>
    </w:p>
    <w:p w14:paraId="7F07FB41" w14:textId="77777777" w:rsidR="00080503" w:rsidRDefault="003A23BA">
      <w:pPr>
        <w:pStyle w:val="a3"/>
        <w:overflowPunct w:val="0"/>
        <w:spacing w:before="240" w:line="600" w:lineRule="exact"/>
        <w:jc w:val="center"/>
        <w:rPr>
          <w:rFonts w:ascii="宋体" w:eastAsia="黑体" w:hAnsi="宋体" w:cs="黑体"/>
          <w:kern w:val="44"/>
          <w:sz w:val="32"/>
          <w:szCs w:val="48"/>
          <w:lang w:bidi="ar"/>
        </w:rPr>
      </w:pPr>
      <w:r>
        <w:rPr>
          <w:rFonts w:ascii="宋体" w:eastAsia="黑体" w:hAnsi="宋体" w:cs="黑体" w:hint="eastAsia"/>
          <w:kern w:val="44"/>
          <w:sz w:val="32"/>
          <w:szCs w:val="48"/>
          <w:lang w:bidi="ar"/>
        </w:rPr>
        <w:t>第八节</w:t>
      </w:r>
      <w:r>
        <w:rPr>
          <w:rFonts w:ascii="宋体" w:eastAsia="黑体" w:hAnsi="宋体" w:cs="黑体" w:hint="eastAsia"/>
          <w:kern w:val="44"/>
          <w:sz w:val="32"/>
          <w:szCs w:val="48"/>
          <w:lang w:bidi="ar"/>
        </w:rPr>
        <w:t xml:space="preserve"> </w:t>
      </w:r>
      <w:r>
        <w:rPr>
          <w:rFonts w:ascii="宋体" w:eastAsia="黑体" w:hAnsi="宋体" w:cs="黑体"/>
          <w:kern w:val="44"/>
          <w:sz w:val="32"/>
          <w:szCs w:val="48"/>
          <w:lang w:bidi="ar"/>
        </w:rPr>
        <w:t xml:space="preserve"> </w:t>
      </w:r>
      <w:r>
        <w:rPr>
          <w:rFonts w:ascii="宋体" w:eastAsia="黑体" w:hAnsi="宋体" w:cs="黑体" w:hint="eastAsia"/>
          <w:kern w:val="44"/>
          <w:sz w:val="32"/>
          <w:szCs w:val="48"/>
          <w:lang w:bidi="ar"/>
        </w:rPr>
        <w:t>民生保障更加有力</w:t>
      </w:r>
    </w:p>
    <w:p w14:paraId="48F35D7F"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民生保障投入持续加大，全区一般公共预算支出中民生支出占比稳定在</w:t>
      </w:r>
      <w:r>
        <w:rPr>
          <w:rFonts w:ascii="宋体" w:eastAsia="方正仿宋简体" w:hAnsi="宋体" w:cs="方正仿宋简体" w:hint="eastAsia"/>
          <w:sz w:val="32"/>
          <w:szCs w:val="32"/>
        </w:rPr>
        <w:t>80%</w:t>
      </w:r>
      <w:r>
        <w:rPr>
          <w:rFonts w:ascii="宋体" w:eastAsia="方正仿宋简体" w:hAnsi="宋体" w:cs="方正仿宋简体" w:hint="eastAsia"/>
          <w:sz w:val="32"/>
          <w:szCs w:val="32"/>
        </w:rPr>
        <w:t>左右。医疗服务供给水平大幅提升，区人民医院新院区投入使用，与齐鲁医院开展分级诊疗合作，山东颐养健康集团莱芜中心医院门诊住院综合诊疗楼全面投入运营。区中医医院二期、区公共卫生中心完成主体建设，里辛街道社区卫生服务中心满足入驻条件，</w:t>
      </w:r>
      <w:r>
        <w:rPr>
          <w:rFonts w:ascii="宋体" w:eastAsia="方正仿宋简体" w:hAnsi="宋体" w:cs="方正仿宋简体" w:hint="eastAsia"/>
          <w:sz w:val="32"/>
          <w:szCs w:val="32"/>
        </w:rPr>
        <w:t>113</w:t>
      </w:r>
      <w:r>
        <w:rPr>
          <w:rFonts w:ascii="宋体" w:eastAsia="方正仿宋简体" w:hAnsi="宋体" w:cs="方正仿宋简体" w:hint="eastAsia"/>
          <w:sz w:val="32"/>
          <w:szCs w:val="32"/>
        </w:rPr>
        <w:t>处村卫生室完成提升改造。教育基础设施不断改善，莱芜四中完成标准化改造，高标准建成艾山学校小学部，成功创建国家县域义务教育优质均衡发展区、国家学前教育普及普惠区。就业与社会保障水平稳步提高，建成区人力资源服务产业园，实现新增城镇就业</w:t>
      </w:r>
      <w:r>
        <w:rPr>
          <w:rFonts w:ascii="宋体" w:eastAsia="方正仿宋简体" w:hAnsi="宋体" w:cs="方正仿宋简体" w:hint="eastAsia"/>
          <w:sz w:val="32"/>
          <w:szCs w:val="32"/>
        </w:rPr>
        <w:t>1.7</w:t>
      </w:r>
      <w:r>
        <w:rPr>
          <w:rFonts w:ascii="宋体" w:eastAsia="方正仿宋简体" w:hAnsi="宋体" w:cs="方正仿宋简体" w:hint="eastAsia"/>
          <w:sz w:val="32"/>
          <w:szCs w:val="32"/>
        </w:rPr>
        <w:t>万余人，全区养老保险、医疗保险、工伤保险参保率分别达到</w:t>
      </w:r>
      <w:r>
        <w:rPr>
          <w:rFonts w:ascii="宋体" w:eastAsia="方正仿宋简体" w:hAnsi="宋体" w:cs="方正仿宋简体" w:hint="eastAsia"/>
          <w:sz w:val="32"/>
          <w:szCs w:val="32"/>
        </w:rPr>
        <w:t>97%</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98%</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96%</w:t>
      </w:r>
      <w:r>
        <w:rPr>
          <w:rFonts w:ascii="宋体" w:eastAsia="方正仿宋简体" w:hAnsi="宋体" w:cs="方正仿宋简体" w:hint="eastAsia"/>
          <w:sz w:val="32"/>
          <w:szCs w:val="32"/>
        </w:rPr>
        <w:t>。养老服务体系逐步完善，区养老服务中心投入运营，幸福食堂实现全覆盖，获评“全国农村老年助餐典型案例”。社会救助体系不断健全，五年来累计发放基本民生保障资金</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亿余元，“钢暖心”社会救助品牌获评</w:t>
      </w:r>
      <w:bookmarkStart w:id="37" w:name="OLE_LINK5"/>
      <w:r>
        <w:rPr>
          <w:rFonts w:ascii="宋体" w:eastAsia="方正仿宋简体" w:hAnsi="宋体" w:cs="方正仿宋简体" w:hint="eastAsia"/>
          <w:sz w:val="32"/>
          <w:szCs w:val="32"/>
        </w:rPr>
        <w:t>全省社会救助品牌</w:t>
      </w:r>
      <w:bookmarkEnd w:id="37"/>
      <w:r>
        <w:rPr>
          <w:rFonts w:ascii="宋体" w:eastAsia="方正仿宋简体" w:hAnsi="宋体" w:cs="方正仿宋简体" w:hint="eastAsia"/>
          <w:sz w:val="32"/>
          <w:szCs w:val="32"/>
        </w:rPr>
        <w:t>。文化公共服务体系持续健全，建成区图书馆新馆，新增泉城书房、全民阅读服务站</w:t>
      </w:r>
      <w:r>
        <w:rPr>
          <w:rFonts w:ascii="宋体" w:eastAsia="方正仿宋简体" w:hAnsi="宋体" w:cs="方正仿宋简体" w:hint="eastAsia"/>
          <w:sz w:val="32"/>
          <w:szCs w:val="32"/>
        </w:rPr>
        <w:t>44</w:t>
      </w:r>
      <w:r>
        <w:rPr>
          <w:rFonts w:ascii="宋体" w:eastAsia="方正仿宋简体" w:hAnsi="宋体" w:cs="方正仿宋简体" w:hint="eastAsia"/>
          <w:sz w:val="32"/>
          <w:szCs w:val="32"/>
        </w:rPr>
        <w:t>处，应急广播终端实现全覆盖。扎实推进信访问题源头治理和信访工作法治化，初信初访一次性化解率达到</w:t>
      </w:r>
      <w:r>
        <w:rPr>
          <w:rFonts w:ascii="宋体" w:eastAsia="方正仿宋简体" w:hAnsi="宋体" w:cs="方正仿宋简体" w:hint="eastAsia"/>
          <w:sz w:val="32"/>
          <w:szCs w:val="32"/>
        </w:rPr>
        <w:t>95%</w:t>
      </w:r>
      <w:r>
        <w:rPr>
          <w:rFonts w:ascii="宋体" w:eastAsia="方正仿宋简体" w:hAnsi="宋体" w:cs="方正仿宋简体" w:hint="eastAsia"/>
          <w:sz w:val="32"/>
          <w:szCs w:val="32"/>
        </w:rPr>
        <w:t>，连续三年获评全国信访工</w:t>
      </w:r>
      <w:r>
        <w:rPr>
          <w:rFonts w:ascii="宋体" w:eastAsia="方正仿宋简体" w:hAnsi="宋体" w:cs="方正仿宋简体" w:hint="eastAsia"/>
          <w:sz w:val="32"/>
          <w:szCs w:val="32"/>
        </w:rPr>
        <w:lastRenderedPageBreak/>
        <w:t>作示范区。纵深推进安全生产“审计式”监督检查服务，全区安全生产形势总体稳定，被评为全省防范安全生产事故成效明显的县（市、区）。金融风险防控力度不断加大，非法集资高发态势得到有效遏制。实施食品药品安全风险分级动态监管，重大食品药品安全事件零发生。全面提升社会治理法治化水平，持续推进扫黑除恶、道路交通安全整治，扎实做好矛盾纠纷化解、法律援助等工作，社会大局保持和谐稳定。妇女、儿童、残疾人、退役军人等群体保障体系不断完善，体育、民族宗教、外事侨务、史志档案等各项事业健康发展。</w:t>
      </w:r>
    </w:p>
    <w:p w14:paraId="2544D7D2" w14:textId="77777777" w:rsidR="00080503" w:rsidRDefault="003A23BA">
      <w:pPr>
        <w:pStyle w:val="a3"/>
        <w:overflowPunct w:val="0"/>
        <w:spacing w:after="0" w:line="6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3ECB3DE9" w14:textId="77777777" w:rsidR="00080503" w:rsidRDefault="00080503">
      <w:pPr>
        <w:pStyle w:val="a3"/>
        <w:overflowPunct w:val="0"/>
        <w:spacing w:after="0" w:line="600" w:lineRule="exact"/>
        <w:jc w:val="center"/>
        <w:rPr>
          <w:rFonts w:ascii="宋体" w:eastAsia="方正小标宋简体" w:hAnsi="宋体" w:cs="方正仿宋简体"/>
          <w:sz w:val="44"/>
          <w:szCs w:val="44"/>
        </w:rPr>
      </w:pPr>
    </w:p>
    <w:p w14:paraId="71704CE8" w14:textId="77777777" w:rsidR="00080503" w:rsidRDefault="003A23BA">
      <w:pPr>
        <w:pStyle w:val="a3"/>
        <w:overflowPunct w:val="0"/>
        <w:spacing w:after="0" w:line="600" w:lineRule="exact"/>
        <w:jc w:val="center"/>
        <w:rPr>
          <w:rFonts w:ascii="宋体" w:eastAsia="方正小标宋简体" w:hAnsi="宋体" w:cs="方正小标宋简体"/>
          <w:sz w:val="44"/>
          <w:szCs w:val="44"/>
        </w:rPr>
      </w:pPr>
      <w:r>
        <w:rPr>
          <w:rFonts w:ascii="宋体" w:eastAsia="方正小标宋简体" w:hAnsi="宋体" w:cs="方正仿宋简体" w:hint="eastAsia"/>
          <w:sz w:val="44"/>
          <w:szCs w:val="44"/>
        </w:rPr>
        <w:t>第二章</w:t>
      </w:r>
      <w:r>
        <w:rPr>
          <w:rFonts w:ascii="宋体" w:eastAsia="方正小标宋简体" w:hAnsi="宋体" w:cs="方正仿宋简体" w:hint="eastAsia"/>
          <w:sz w:val="44"/>
          <w:szCs w:val="44"/>
        </w:rPr>
        <w:t xml:space="preserve">  </w:t>
      </w:r>
      <w:r>
        <w:rPr>
          <w:rFonts w:ascii="宋体" w:eastAsia="方正小标宋简体" w:hAnsi="宋体" w:cs="方正小标宋简体" w:hint="eastAsia"/>
          <w:sz w:val="44"/>
          <w:szCs w:val="44"/>
        </w:rPr>
        <w:t>“十五五”时期的重要地位</w:t>
      </w:r>
    </w:p>
    <w:p w14:paraId="2E485508" w14:textId="77777777" w:rsidR="00080503" w:rsidRDefault="003A23BA">
      <w:pPr>
        <w:pStyle w:val="a3"/>
        <w:overflowPunct w:val="0"/>
        <w:spacing w:after="0" w:line="600" w:lineRule="exact"/>
        <w:jc w:val="center"/>
        <w:rPr>
          <w:rFonts w:ascii="宋体" w:eastAsia="方正小标宋简体" w:hAnsi="宋体" w:cs="方正小标宋简体"/>
          <w:sz w:val="44"/>
          <w:szCs w:val="44"/>
        </w:rPr>
      </w:pPr>
      <w:r>
        <w:rPr>
          <w:rFonts w:ascii="宋体" w:eastAsia="方正小标宋简体" w:hAnsi="宋体" w:cs="方正小标宋简体" w:hint="eastAsia"/>
          <w:sz w:val="44"/>
          <w:szCs w:val="44"/>
        </w:rPr>
        <w:t>及面临的发展环境</w:t>
      </w:r>
    </w:p>
    <w:p w14:paraId="4BD05250" w14:textId="77777777" w:rsidR="00080503" w:rsidRDefault="00080503">
      <w:pPr>
        <w:overflowPunct w:val="0"/>
        <w:spacing w:line="616" w:lineRule="exact"/>
        <w:ind w:firstLineChars="200" w:firstLine="640"/>
        <w:rPr>
          <w:rFonts w:ascii="宋体" w:eastAsia="方正仿宋简体" w:hAnsi="宋体" w:cs="方正仿宋简体"/>
          <w:sz w:val="32"/>
          <w:szCs w:val="32"/>
        </w:rPr>
      </w:pPr>
    </w:p>
    <w:p w14:paraId="0BDA6616"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w:t>
      </w:r>
      <w:r>
        <w:rPr>
          <w:rFonts w:ascii="宋体" w:eastAsia="方正仿宋简体" w:hAnsi="宋体" w:cs="方正仿宋简体"/>
          <w:sz w:val="32"/>
          <w:szCs w:val="32"/>
        </w:rPr>
        <w:t>十五五</w:t>
      </w:r>
      <w:r>
        <w:rPr>
          <w:rFonts w:ascii="宋体" w:eastAsia="方正仿宋简体" w:hAnsi="宋体" w:cs="方正仿宋简体"/>
          <w:sz w:val="32"/>
          <w:szCs w:val="32"/>
        </w:rPr>
        <w:t>”</w:t>
      </w:r>
      <w:r>
        <w:rPr>
          <w:rFonts w:ascii="宋体" w:eastAsia="方正仿宋简体" w:hAnsi="宋体" w:cs="方正仿宋简体"/>
          <w:sz w:val="32"/>
          <w:szCs w:val="32"/>
        </w:rPr>
        <w:t>时期具有承前启后的重要地位</w:t>
      </w:r>
      <w:r>
        <w:rPr>
          <w:rFonts w:ascii="宋体" w:eastAsia="方正仿宋简体" w:hAnsi="宋体" w:cs="方正仿宋简体" w:hint="eastAsia"/>
          <w:sz w:val="32"/>
          <w:szCs w:val="32"/>
        </w:rPr>
        <w:t>，</w:t>
      </w:r>
      <w:r>
        <w:rPr>
          <w:rFonts w:ascii="宋体" w:eastAsia="方正仿宋简体" w:hAnsi="宋体" w:cs="方正仿宋简体"/>
          <w:sz w:val="32"/>
          <w:szCs w:val="32"/>
        </w:rPr>
        <w:t>是我国基本实现社会主义现代化夯实基础、全面发力的关键时期，也是全方位推动钢城高质量发展的战略机遇叠加期、综合能级跃升期、转型升级跨越期、城市品质蝶变期、干事创业拼搏期。未来五年，要紧紧抓住时间窗口，进一步巩固拓展优势，破除瓶颈制约，补齐短板弱项，激发内生动力，以确定性工作应对不确定性形势，推动事关全局、事关长远的战略任务取得重大突破。</w:t>
      </w:r>
    </w:p>
    <w:p w14:paraId="2AA69497"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当前和今后一个时期，发展环境面临深刻复杂变化，战略机遇和风险挑战并存、不确定难预料因素增多。</w:t>
      </w:r>
      <w:r>
        <w:rPr>
          <w:rFonts w:ascii="宋体" w:eastAsia="方正仿宋简体" w:hAnsi="宋体" w:cs="方正仿宋简体"/>
          <w:sz w:val="32"/>
          <w:szCs w:val="32"/>
        </w:rPr>
        <w:t>从国际看，世界百年变局加速演进，国际力量对比深刻调整，新一轮科技革命和产业变革加速突破，大国博弈更加复杂激烈，国际经济贸易秩序遇到严峻挑战，外部环境的不确</w:t>
      </w:r>
      <w:r>
        <w:rPr>
          <w:rFonts w:ascii="宋体" w:eastAsia="方正仿宋简体" w:hAnsi="宋体" w:cs="方正仿宋简体" w:hint="eastAsia"/>
          <w:sz w:val="32"/>
          <w:szCs w:val="32"/>
        </w:rPr>
        <w:t>定性</w:t>
      </w:r>
      <w:r>
        <w:rPr>
          <w:rFonts w:ascii="宋体" w:eastAsia="方正仿宋简体" w:hAnsi="宋体" w:cs="方正仿宋简体"/>
          <w:sz w:val="32"/>
          <w:szCs w:val="32"/>
        </w:rPr>
        <w:t>、不稳定性上升。从国内看，我国经济基础稳、优势多、韧性强、潜能大，长期向好的支撑条件和基本趋势没有变，中国特色社会主义制度优势、超大规模市场优势、完整产业体系优势、丰富人才资源优势更加彰显。从全省看，绿色低碳高质量发展先行区积厚成势，支持经济大省挑大梁等政策效应叠加放大，打造北方地区经济重要增长极将成势见</w:t>
      </w:r>
      <w:r>
        <w:rPr>
          <w:rFonts w:ascii="宋体" w:eastAsia="方正仿宋简体" w:hAnsi="宋体" w:cs="方正仿宋简体"/>
          <w:sz w:val="32"/>
          <w:szCs w:val="32"/>
        </w:rPr>
        <w:lastRenderedPageBreak/>
        <w:t>效。从全市看，逐步形成了战略机遇交汇叠加、交通网络四通八达、科技创新实力雄厚、智能数字赋能势头强劲、人才保障基础坚实、金融服务优势突出、营商环境持续优化、消费市场潜力巨大、城市品质生态宜居、人文环境厚重淳朴</w:t>
      </w:r>
      <w:r>
        <w:rPr>
          <w:rFonts w:ascii="宋体" w:eastAsia="方正仿宋简体" w:hAnsi="宋体" w:cs="方正仿宋简体"/>
          <w:sz w:val="32"/>
          <w:szCs w:val="32"/>
        </w:rPr>
        <w:t>“</w:t>
      </w:r>
      <w:r>
        <w:rPr>
          <w:rFonts w:ascii="宋体" w:eastAsia="方正仿宋简体" w:hAnsi="宋体" w:cs="方正仿宋简体"/>
          <w:sz w:val="32"/>
          <w:szCs w:val="32"/>
        </w:rPr>
        <w:t>十大发展优势</w:t>
      </w:r>
      <w:r>
        <w:rPr>
          <w:rFonts w:ascii="宋体" w:eastAsia="方正仿宋简体" w:hAnsi="宋体" w:cs="方正仿宋简体"/>
          <w:sz w:val="32"/>
          <w:szCs w:val="32"/>
        </w:rPr>
        <w:t>”</w:t>
      </w:r>
      <w:r>
        <w:rPr>
          <w:rFonts w:ascii="宋体" w:eastAsia="方正仿宋简体" w:hAnsi="宋体" w:cs="方正仿宋简体"/>
          <w:sz w:val="32"/>
          <w:szCs w:val="32"/>
        </w:rPr>
        <w:t>，未来五年，发展优势将更加凸显，发展动能将更加强劲，发展活力将更加充沛，发展支撑将更加有力。从钢城自身看，</w:t>
      </w:r>
      <w:r>
        <w:rPr>
          <w:rFonts w:ascii="宋体" w:eastAsia="方正仿宋简体" w:hAnsi="宋体" w:cs="方正仿宋简体" w:hint="eastAsia"/>
          <w:sz w:val="32"/>
          <w:szCs w:val="32"/>
        </w:rPr>
        <w:t>一方面，</w:t>
      </w:r>
      <w:r>
        <w:rPr>
          <w:rFonts w:ascii="宋体" w:eastAsia="方正仿宋简体" w:hAnsi="宋体" w:cs="方正仿宋简体"/>
          <w:sz w:val="32"/>
          <w:szCs w:val="32"/>
        </w:rPr>
        <w:t>城乡基础设施日益完善，社会治理效能明显提升，政治生态风清气正，齐心干事创业的良好氛围日益浓厚</w:t>
      </w:r>
      <w:r>
        <w:rPr>
          <w:rFonts w:ascii="宋体" w:eastAsia="方正仿宋简体" w:hAnsi="宋体" w:cs="方正仿宋简体" w:hint="eastAsia"/>
          <w:sz w:val="32"/>
          <w:szCs w:val="32"/>
        </w:rPr>
        <w:t>，特别是经济发展的增量支撑有力，先进材料、</w:t>
      </w:r>
      <w:r>
        <w:rPr>
          <w:rFonts w:ascii="宋体" w:eastAsia="方正仿宋简体" w:hAnsi="宋体" w:cs="方正仿宋简体"/>
          <w:sz w:val="32"/>
          <w:szCs w:val="32"/>
        </w:rPr>
        <w:t>新能源装备、精密铸锻与装备制造等</w:t>
      </w:r>
      <w:r>
        <w:rPr>
          <w:rFonts w:ascii="宋体" w:eastAsia="方正仿宋简体" w:hAnsi="宋体" w:cs="方正仿宋简体" w:hint="eastAsia"/>
          <w:sz w:val="32"/>
          <w:szCs w:val="32"/>
        </w:rPr>
        <w:t>产业</w:t>
      </w:r>
      <w:r>
        <w:rPr>
          <w:rFonts w:ascii="宋体" w:eastAsia="方正仿宋简体" w:hAnsi="宋体" w:cs="方正仿宋简体"/>
          <w:sz w:val="32"/>
          <w:szCs w:val="32"/>
        </w:rPr>
        <w:t>增势较好，</w:t>
      </w:r>
      <w:r>
        <w:rPr>
          <w:rFonts w:ascii="宋体" w:eastAsia="方正仿宋简体" w:hAnsi="宋体" w:cs="方正仿宋简体" w:hint="eastAsia"/>
          <w:sz w:val="32"/>
          <w:szCs w:val="32"/>
        </w:rPr>
        <w:t>钢铁行业降本增效变革成效显现，一批</w:t>
      </w:r>
      <w:r>
        <w:rPr>
          <w:rFonts w:ascii="宋体" w:eastAsia="方正仿宋简体" w:hAnsi="宋体" w:cs="方正仿宋简体"/>
          <w:sz w:val="32"/>
          <w:szCs w:val="32"/>
        </w:rPr>
        <w:t>重点工程、重点项目、重点平台加速落地，</w:t>
      </w:r>
      <w:r>
        <w:rPr>
          <w:rFonts w:ascii="宋体" w:eastAsia="方正仿宋简体" w:hAnsi="宋体" w:cs="方正仿宋简体" w:hint="eastAsia"/>
          <w:sz w:val="32"/>
          <w:szCs w:val="32"/>
        </w:rPr>
        <w:t>钢城具有</w:t>
      </w:r>
      <w:r>
        <w:rPr>
          <w:rFonts w:ascii="宋体" w:eastAsia="方正仿宋简体" w:hAnsi="宋体" w:cs="方正仿宋简体"/>
          <w:sz w:val="32"/>
          <w:szCs w:val="32"/>
        </w:rPr>
        <w:t>巨大的发展潜力和空间</w:t>
      </w:r>
      <w:r>
        <w:rPr>
          <w:rFonts w:ascii="宋体" w:eastAsia="方正仿宋简体" w:hAnsi="宋体" w:cs="方正仿宋简体" w:hint="eastAsia"/>
          <w:sz w:val="32"/>
          <w:szCs w:val="32"/>
        </w:rPr>
        <w:t>；另一方面，</w:t>
      </w:r>
      <w:r>
        <w:rPr>
          <w:rFonts w:ascii="宋体" w:eastAsia="方正仿宋简体" w:hAnsi="宋体" w:cs="方正仿宋简体"/>
          <w:sz w:val="32"/>
          <w:szCs w:val="32"/>
        </w:rPr>
        <w:t>发展不平衡不充分问题仍然突出</w:t>
      </w:r>
      <w:r>
        <w:rPr>
          <w:rFonts w:ascii="宋体" w:eastAsia="方正仿宋简体" w:hAnsi="宋体" w:cs="方正仿宋简体" w:hint="eastAsia"/>
          <w:sz w:val="32"/>
          <w:szCs w:val="32"/>
        </w:rPr>
        <w:t>。</w:t>
      </w:r>
      <w:r>
        <w:rPr>
          <w:rFonts w:ascii="宋体" w:eastAsia="方正仿宋简体" w:hAnsi="宋体" w:cs="方正仿宋简体"/>
          <w:sz w:val="32"/>
          <w:szCs w:val="32"/>
        </w:rPr>
        <w:t>经济总量规模不大，产业结构质量不优，</w:t>
      </w:r>
      <w:r>
        <w:rPr>
          <w:rFonts w:ascii="宋体" w:eastAsia="方正仿宋简体" w:hAnsi="宋体" w:cs="方正仿宋简体" w:hint="eastAsia"/>
          <w:sz w:val="32"/>
          <w:szCs w:val="32"/>
        </w:rPr>
        <w:t>特别是</w:t>
      </w:r>
      <w:r>
        <w:rPr>
          <w:rFonts w:ascii="宋体" w:eastAsia="方正仿宋简体" w:hAnsi="宋体" w:cs="方正仿宋简体"/>
          <w:sz w:val="32"/>
          <w:szCs w:val="32"/>
        </w:rPr>
        <w:t>钢铁行业进入减量提质的关键期</w:t>
      </w:r>
      <w:r>
        <w:rPr>
          <w:rFonts w:ascii="宋体" w:eastAsia="方正仿宋简体" w:hAnsi="宋体" w:cs="方正仿宋简体" w:hint="eastAsia"/>
          <w:sz w:val="32"/>
          <w:szCs w:val="32"/>
        </w:rPr>
        <w:t>，</w:t>
      </w:r>
      <w:r>
        <w:rPr>
          <w:rFonts w:ascii="宋体" w:eastAsia="方正仿宋简体" w:hAnsi="宋体" w:cs="方正仿宋简体"/>
          <w:sz w:val="32"/>
          <w:szCs w:val="32"/>
        </w:rPr>
        <w:t>抓好</w:t>
      </w:r>
      <w:r>
        <w:rPr>
          <w:rFonts w:ascii="宋体" w:eastAsia="方正仿宋简体" w:hAnsi="宋体" w:cs="方正仿宋简体" w:hint="eastAsia"/>
          <w:sz w:val="32"/>
          <w:szCs w:val="32"/>
        </w:rPr>
        <w:t>钢铁</w:t>
      </w:r>
      <w:r>
        <w:rPr>
          <w:rFonts w:ascii="宋体" w:eastAsia="方正仿宋简体" w:hAnsi="宋体" w:cs="方正仿宋简体"/>
          <w:sz w:val="32"/>
          <w:szCs w:val="32"/>
        </w:rPr>
        <w:t>减量因素应对</w:t>
      </w:r>
      <w:r>
        <w:rPr>
          <w:rFonts w:ascii="宋体" w:eastAsia="方正仿宋简体" w:hAnsi="宋体" w:cs="方正仿宋简体" w:hint="eastAsia"/>
          <w:sz w:val="32"/>
          <w:szCs w:val="32"/>
        </w:rPr>
        <w:t>、</w:t>
      </w:r>
      <w:r>
        <w:rPr>
          <w:rFonts w:ascii="宋体" w:eastAsia="方正仿宋简体" w:hAnsi="宋体" w:cs="方正仿宋简体"/>
          <w:sz w:val="32"/>
          <w:szCs w:val="32"/>
        </w:rPr>
        <w:t>以质的提升应对量的缩减</w:t>
      </w:r>
      <w:r>
        <w:rPr>
          <w:rFonts w:ascii="宋体" w:eastAsia="方正仿宋简体" w:hAnsi="宋体" w:cs="方正仿宋简体" w:hint="eastAsia"/>
          <w:sz w:val="32"/>
          <w:szCs w:val="32"/>
        </w:rPr>
        <w:t>还有大量工作要做。同时，</w:t>
      </w:r>
      <w:r>
        <w:rPr>
          <w:rFonts w:ascii="宋体" w:eastAsia="方正仿宋简体" w:hAnsi="宋体" w:cs="方正仿宋简体"/>
          <w:sz w:val="32"/>
          <w:szCs w:val="32"/>
        </w:rPr>
        <w:t>自主创新能力不强，内需潜能释放不充分，人口、人才、资本、数据、技术要素聚集度不高，农业农村现代化还有差距，民生保障存在短板弱项，生态环保、风险防控等方面面临较大压力。</w:t>
      </w:r>
    </w:p>
    <w:p w14:paraId="715483FD"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综合判断，“十五五”时期我区仍将处于战略机遇和风险挑战并存的阶段，虽然面临一定的困难和压力，但经济长期向好的支撑条件和基本趋势没有改变，高质量发展的内生动力仍在增</w:t>
      </w:r>
      <w:r>
        <w:rPr>
          <w:rFonts w:ascii="宋体" w:eastAsia="方正仿宋简体" w:hAnsi="宋体" w:cs="方正仿宋简体" w:hint="eastAsia"/>
          <w:sz w:val="32"/>
          <w:szCs w:val="32"/>
        </w:rPr>
        <w:lastRenderedPageBreak/>
        <w:t>强。</w:t>
      </w:r>
      <w:r>
        <w:rPr>
          <w:rFonts w:ascii="宋体" w:eastAsia="方正仿宋简体" w:hAnsi="宋体" w:cs="方正仿宋简体"/>
          <w:sz w:val="32"/>
          <w:szCs w:val="32"/>
        </w:rPr>
        <w:t>全区上下</w:t>
      </w:r>
      <w:r>
        <w:rPr>
          <w:rFonts w:ascii="宋体" w:eastAsia="方正仿宋简体" w:hAnsi="宋体" w:cs="方正仿宋简体" w:hint="eastAsia"/>
          <w:sz w:val="32"/>
          <w:szCs w:val="32"/>
        </w:rPr>
        <w:t>必须</w:t>
      </w:r>
      <w:r>
        <w:rPr>
          <w:rFonts w:ascii="宋体" w:eastAsia="方正仿宋简体" w:hAnsi="宋体" w:cs="方正仿宋简体"/>
          <w:sz w:val="32"/>
          <w:szCs w:val="32"/>
        </w:rPr>
        <w:t>深刻领悟</w:t>
      </w:r>
      <w:r>
        <w:rPr>
          <w:rFonts w:ascii="宋体" w:eastAsia="方正仿宋简体" w:hAnsi="宋体" w:cs="方正仿宋简体"/>
          <w:sz w:val="32"/>
          <w:szCs w:val="32"/>
        </w:rPr>
        <w:t>“</w:t>
      </w:r>
      <w:r>
        <w:rPr>
          <w:rFonts w:ascii="宋体" w:eastAsia="方正仿宋简体" w:hAnsi="宋体" w:cs="方正仿宋简体"/>
          <w:sz w:val="32"/>
          <w:szCs w:val="32"/>
        </w:rPr>
        <w:t>两个确立</w:t>
      </w:r>
      <w:r>
        <w:rPr>
          <w:rFonts w:ascii="宋体" w:eastAsia="方正仿宋简体" w:hAnsi="宋体" w:cs="方正仿宋简体"/>
          <w:sz w:val="32"/>
          <w:szCs w:val="32"/>
        </w:rPr>
        <w:t>”</w:t>
      </w:r>
      <w:r>
        <w:rPr>
          <w:rFonts w:ascii="宋体" w:eastAsia="方正仿宋简体" w:hAnsi="宋体" w:cs="方正仿宋简体"/>
          <w:sz w:val="32"/>
          <w:szCs w:val="32"/>
        </w:rPr>
        <w:t>的决定性意义，增强</w:t>
      </w:r>
      <w:r>
        <w:rPr>
          <w:rFonts w:ascii="宋体" w:eastAsia="方正仿宋简体" w:hAnsi="宋体" w:cs="方正仿宋简体"/>
          <w:sz w:val="32"/>
          <w:szCs w:val="32"/>
        </w:rPr>
        <w:t>“</w:t>
      </w:r>
      <w:r>
        <w:rPr>
          <w:rFonts w:ascii="宋体" w:eastAsia="方正仿宋简体" w:hAnsi="宋体" w:cs="方正仿宋简体"/>
          <w:sz w:val="32"/>
          <w:szCs w:val="32"/>
        </w:rPr>
        <w:t>四个意识</w:t>
      </w:r>
      <w:r>
        <w:rPr>
          <w:rFonts w:ascii="宋体" w:eastAsia="方正仿宋简体" w:hAnsi="宋体" w:cs="方正仿宋简体"/>
          <w:sz w:val="32"/>
          <w:szCs w:val="32"/>
        </w:rPr>
        <w:t>”</w:t>
      </w:r>
      <w:r>
        <w:rPr>
          <w:rFonts w:ascii="宋体" w:eastAsia="方正仿宋简体" w:hAnsi="宋体" w:cs="方正仿宋简体"/>
          <w:sz w:val="32"/>
          <w:szCs w:val="32"/>
        </w:rPr>
        <w:t>、坚定</w:t>
      </w:r>
      <w:r>
        <w:rPr>
          <w:rFonts w:ascii="宋体" w:eastAsia="方正仿宋简体" w:hAnsi="宋体" w:cs="方正仿宋简体"/>
          <w:sz w:val="32"/>
          <w:szCs w:val="32"/>
        </w:rPr>
        <w:t>“</w:t>
      </w:r>
      <w:r>
        <w:rPr>
          <w:rFonts w:ascii="宋体" w:eastAsia="方正仿宋简体" w:hAnsi="宋体" w:cs="方正仿宋简体"/>
          <w:sz w:val="32"/>
          <w:szCs w:val="32"/>
        </w:rPr>
        <w:t>四个自信</w:t>
      </w:r>
      <w:r>
        <w:rPr>
          <w:rFonts w:ascii="宋体" w:eastAsia="方正仿宋简体" w:hAnsi="宋体" w:cs="方正仿宋简体"/>
          <w:sz w:val="32"/>
          <w:szCs w:val="32"/>
        </w:rPr>
        <w:t>”</w:t>
      </w:r>
      <w:r>
        <w:rPr>
          <w:rFonts w:ascii="宋体" w:eastAsia="方正仿宋简体" w:hAnsi="宋体" w:cs="方正仿宋简体"/>
          <w:sz w:val="32"/>
          <w:szCs w:val="32"/>
        </w:rPr>
        <w:t>、做到</w:t>
      </w:r>
      <w:r>
        <w:rPr>
          <w:rFonts w:ascii="宋体" w:eastAsia="方正仿宋简体" w:hAnsi="宋体" w:cs="方正仿宋简体"/>
          <w:sz w:val="32"/>
          <w:szCs w:val="32"/>
        </w:rPr>
        <w:t>“</w:t>
      </w:r>
      <w:r>
        <w:rPr>
          <w:rFonts w:ascii="宋体" w:eastAsia="方正仿宋简体" w:hAnsi="宋体" w:cs="方正仿宋简体"/>
          <w:sz w:val="32"/>
          <w:szCs w:val="32"/>
        </w:rPr>
        <w:t>两个维护</w:t>
      </w:r>
      <w:r>
        <w:rPr>
          <w:rFonts w:ascii="宋体" w:eastAsia="方正仿宋简体" w:hAnsi="宋体" w:cs="方正仿宋简体"/>
          <w:sz w:val="32"/>
          <w:szCs w:val="32"/>
        </w:rPr>
        <w:t>”</w:t>
      </w:r>
      <w:r>
        <w:rPr>
          <w:rFonts w:ascii="宋体" w:eastAsia="方正仿宋简体" w:hAnsi="宋体" w:cs="方正仿宋简体"/>
          <w:sz w:val="32"/>
          <w:szCs w:val="32"/>
        </w:rPr>
        <w:t>，把握大势，保持定力，增强信心，积极识变应变求变，以历史主动精神克难关、战风险、迎挑战，加快推动高质量发展，奋力开创钢城现代化建设新局面。</w:t>
      </w:r>
    </w:p>
    <w:p w14:paraId="207E3128" w14:textId="77777777" w:rsidR="00080503" w:rsidRDefault="003A23BA">
      <w:pPr>
        <w:pStyle w:val="a3"/>
        <w:overflowPunct w:val="0"/>
        <w:spacing w:after="0" w:line="6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4B7FB01F" w14:textId="77777777" w:rsidR="00080503" w:rsidRDefault="00080503">
      <w:pPr>
        <w:pStyle w:val="a3"/>
        <w:overflowPunct w:val="0"/>
        <w:spacing w:after="0" w:line="594" w:lineRule="exact"/>
        <w:jc w:val="center"/>
        <w:rPr>
          <w:rFonts w:ascii="宋体" w:eastAsia="方正小标宋简体" w:hAnsi="宋体" w:cs="方正仿宋简体"/>
          <w:sz w:val="44"/>
          <w:szCs w:val="44"/>
        </w:rPr>
      </w:pPr>
    </w:p>
    <w:p w14:paraId="41AF313C" w14:textId="77777777" w:rsidR="00080503" w:rsidRDefault="003A23BA">
      <w:pPr>
        <w:pStyle w:val="a3"/>
        <w:overflowPunct w:val="0"/>
        <w:spacing w:after="0" w:line="594" w:lineRule="exact"/>
        <w:jc w:val="center"/>
        <w:rPr>
          <w:rFonts w:ascii="宋体" w:eastAsia="方正小标宋简体" w:hAnsi="宋体" w:cs="方正小标宋简体"/>
          <w:spacing w:val="-6"/>
          <w:sz w:val="44"/>
          <w:szCs w:val="44"/>
        </w:rPr>
      </w:pPr>
      <w:r>
        <w:rPr>
          <w:rFonts w:ascii="宋体" w:eastAsia="方正小标宋简体" w:hAnsi="宋体" w:cs="方正仿宋简体" w:hint="eastAsia"/>
          <w:sz w:val="44"/>
          <w:szCs w:val="44"/>
        </w:rPr>
        <w:t>第三章</w:t>
      </w:r>
      <w:r>
        <w:rPr>
          <w:rFonts w:ascii="宋体" w:eastAsia="方正小标宋简体" w:hAnsi="宋体" w:cs="方正仿宋简体" w:hint="eastAsia"/>
          <w:sz w:val="44"/>
          <w:szCs w:val="44"/>
        </w:rPr>
        <w:t xml:space="preserve">  </w:t>
      </w:r>
      <w:r>
        <w:rPr>
          <w:rFonts w:ascii="宋体" w:eastAsia="方正小标宋简体" w:hAnsi="宋体" w:cs="方正小标宋简体" w:hint="eastAsia"/>
          <w:spacing w:val="-6"/>
          <w:sz w:val="44"/>
          <w:szCs w:val="44"/>
        </w:rPr>
        <w:t>扛牢省会副中心使命担当</w:t>
      </w:r>
    </w:p>
    <w:p w14:paraId="7206E08E" w14:textId="77777777" w:rsidR="00080503" w:rsidRDefault="003A23BA">
      <w:pPr>
        <w:pStyle w:val="a3"/>
        <w:overflowPunct w:val="0"/>
        <w:spacing w:after="0" w:line="594" w:lineRule="exact"/>
        <w:jc w:val="center"/>
        <w:rPr>
          <w:rFonts w:ascii="宋体" w:eastAsia="方正小标宋简体" w:hAnsi="宋体" w:cs="方正仿宋简体"/>
          <w:sz w:val="44"/>
          <w:szCs w:val="44"/>
        </w:rPr>
      </w:pPr>
      <w:r>
        <w:rPr>
          <w:rFonts w:ascii="宋体" w:eastAsia="方正小标宋简体" w:hAnsi="宋体" w:cs="方正小标宋简体" w:hint="eastAsia"/>
          <w:spacing w:val="-6"/>
          <w:sz w:val="44"/>
          <w:szCs w:val="44"/>
        </w:rPr>
        <w:t>开启钢城现代化建设新征程</w:t>
      </w:r>
    </w:p>
    <w:p w14:paraId="671B16D2" w14:textId="77777777" w:rsidR="00080503" w:rsidRDefault="003A23BA">
      <w:pPr>
        <w:pStyle w:val="a3"/>
        <w:overflowPunct w:val="0"/>
        <w:spacing w:before="240" w:line="594" w:lineRule="exact"/>
        <w:jc w:val="center"/>
        <w:rPr>
          <w:rFonts w:ascii="宋体" w:eastAsia="黑体" w:hAnsi="宋体" w:cs="方正仿宋简体"/>
          <w:sz w:val="32"/>
          <w:szCs w:val="32"/>
        </w:rPr>
      </w:pPr>
      <w:r>
        <w:rPr>
          <w:rFonts w:ascii="宋体" w:eastAsia="黑体" w:hAnsi="宋体" w:cs="方正仿宋简体" w:hint="eastAsia"/>
          <w:sz w:val="32"/>
          <w:szCs w:val="32"/>
        </w:rPr>
        <w:t>第一节</w:t>
      </w:r>
      <w:r>
        <w:rPr>
          <w:rFonts w:ascii="宋体" w:eastAsia="黑体" w:hAnsi="宋体" w:cs="方正仿宋简体" w:hint="eastAsia"/>
          <w:sz w:val="32"/>
          <w:szCs w:val="32"/>
        </w:rPr>
        <w:t xml:space="preserve"> </w:t>
      </w:r>
      <w:r>
        <w:rPr>
          <w:rFonts w:ascii="宋体" w:eastAsia="黑体" w:hAnsi="宋体" w:cs="方正仿宋简体"/>
          <w:sz w:val="32"/>
          <w:szCs w:val="32"/>
        </w:rPr>
        <w:t xml:space="preserve"> </w:t>
      </w:r>
      <w:r>
        <w:rPr>
          <w:rFonts w:ascii="宋体" w:eastAsia="黑体" w:hAnsi="宋体" w:cs="方正仿宋简体" w:hint="eastAsia"/>
          <w:sz w:val="32"/>
          <w:szCs w:val="32"/>
        </w:rPr>
        <w:t>指导思想</w:t>
      </w:r>
    </w:p>
    <w:p w14:paraId="486A3D33" w14:textId="77777777" w:rsidR="00080503" w:rsidRDefault="003A23BA">
      <w:pPr>
        <w:pStyle w:val="a3"/>
        <w:overflowPunct w:val="0"/>
        <w:spacing w:after="0" w:line="594"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坚持马克思列宁主义</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毛泽东思想</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邓小平理论</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三个代表</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重要思想、科学发展观，全面贯彻习近平新时代中国特色社会主义思想，深入贯彻党的二十大和二十届历次全会精神，认真落实习近平总书记视察山东重要讲话和重要指示批示精神，统筹推进</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五位一体</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总体布局，协调推进</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四个全面</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战略布局，统筹国内国际两个大局，完整准确全面贯彻新发展理念，主动服务和融入新发展格局，坚持稳中求进工作总基调，坚持以经济建设为中心，以推动高质量发展为主题，以改革创新为根本动力，以满足人民日益增长的美好生活需要为根本目的，以全面从严治党为根本保障，把因地制宜发展新质生产力摆在更加突出的战略位置，全面践行</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人民城市</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理念，进一步全面深化改革、扩大开放，努力打造</w:t>
      </w:r>
      <w:bookmarkStart w:id="38" w:name="OLE_LINK6"/>
      <w:r>
        <w:rPr>
          <w:rFonts w:ascii="宋体" w:eastAsia="方正仿宋简体" w:hAnsi="宋体" w:cs="方正仿宋简体" w:hint="eastAsia"/>
          <w:sz w:val="32"/>
          <w:szCs w:val="32"/>
        </w:rPr>
        <w:t>济南副城高质量发展的增长极</w:t>
      </w:r>
      <w:bookmarkEnd w:id="38"/>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辐射带动鲁中南地区的战略支点</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精品钢及深加工产业基地，推动经济实现质的有效提升和量的合理增长，推动人的全面发展</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全体人民共同富裕迈出坚实步伐，基本建成现代化高品质美丽钢城。</w:t>
      </w:r>
    </w:p>
    <w:p w14:paraId="1F113A42" w14:textId="77777777" w:rsidR="00080503" w:rsidRDefault="003A23BA">
      <w:pPr>
        <w:pStyle w:val="a3"/>
        <w:overflowPunct w:val="0"/>
        <w:spacing w:before="240" w:line="594" w:lineRule="exact"/>
        <w:jc w:val="center"/>
        <w:rPr>
          <w:rFonts w:ascii="宋体" w:eastAsia="黑体" w:hAnsi="宋体" w:cs="方正仿宋简体"/>
          <w:sz w:val="32"/>
          <w:szCs w:val="32"/>
        </w:rPr>
      </w:pPr>
      <w:r>
        <w:rPr>
          <w:rFonts w:ascii="宋体" w:eastAsia="黑体" w:hAnsi="宋体" w:cs="方正仿宋简体" w:hint="eastAsia"/>
          <w:sz w:val="32"/>
          <w:szCs w:val="32"/>
        </w:rPr>
        <w:t>第二节</w:t>
      </w:r>
      <w:r>
        <w:rPr>
          <w:rFonts w:ascii="宋体" w:eastAsia="黑体" w:hAnsi="宋体" w:cs="方正仿宋简体" w:hint="eastAsia"/>
          <w:sz w:val="32"/>
          <w:szCs w:val="32"/>
        </w:rPr>
        <w:t xml:space="preserve"> </w:t>
      </w:r>
      <w:r>
        <w:rPr>
          <w:rFonts w:ascii="宋体" w:eastAsia="黑体" w:hAnsi="宋体" w:cs="方正仿宋简体"/>
          <w:sz w:val="32"/>
          <w:szCs w:val="32"/>
        </w:rPr>
        <w:t xml:space="preserve"> </w:t>
      </w:r>
      <w:r>
        <w:rPr>
          <w:rFonts w:ascii="宋体" w:eastAsia="黑体" w:hAnsi="宋体" w:cs="方正仿宋简体" w:hint="eastAsia"/>
          <w:sz w:val="32"/>
          <w:szCs w:val="32"/>
        </w:rPr>
        <w:t>基本原则</w:t>
      </w:r>
    </w:p>
    <w:p w14:paraId="693060DD" w14:textId="77777777" w:rsidR="00080503" w:rsidRDefault="003A23BA">
      <w:pPr>
        <w:pStyle w:val="a3"/>
        <w:overflowPunct w:val="0"/>
        <w:spacing w:after="0" w:line="594" w:lineRule="exact"/>
        <w:ind w:firstLineChars="200" w:firstLine="560"/>
        <w:rPr>
          <w:rFonts w:ascii="宋体" w:eastAsia="方正仿宋简体" w:hAnsi="宋体" w:cs="方正仿宋简体"/>
          <w:sz w:val="32"/>
          <w:szCs w:val="32"/>
        </w:rPr>
      </w:pPr>
      <w:r>
        <w:rPr>
          <w:rFonts w:ascii="宋体" w:eastAsia="方正仿宋简体" w:hAnsi="宋体" w:cs="方正仿宋简体" w:hint="eastAsia"/>
          <w:spacing w:val="-20"/>
          <w:sz w:val="32"/>
          <w:szCs w:val="32"/>
        </w:rPr>
        <w:lastRenderedPageBreak/>
        <w:t>“</w:t>
      </w:r>
      <w:r>
        <w:rPr>
          <w:rFonts w:ascii="宋体" w:eastAsia="方正仿宋简体" w:hAnsi="宋体" w:cs="方正仿宋简体" w:hint="eastAsia"/>
          <w:sz w:val="32"/>
          <w:szCs w:val="32"/>
        </w:rPr>
        <w:t>十五五</w:t>
      </w:r>
      <w:r>
        <w:rPr>
          <w:rFonts w:ascii="宋体" w:eastAsia="方正仿宋简体" w:hAnsi="宋体" w:cs="方正仿宋简体" w:hint="eastAsia"/>
          <w:spacing w:val="-20"/>
          <w:sz w:val="32"/>
          <w:szCs w:val="32"/>
        </w:rPr>
        <w:t>”</w:t>
      </w:r>
      <w:r>
        <w:rPr>
          <w:rFonts w:ascii="宋体" w:eastAsia="方正仿宋简体" w:hAnsi="宋体" w:cs="方正仿宋简体" w:hint="eastAsia"/>
          <w:sz w:val="32"/>
          <w:szCs w:val="32"/>
        </w:rPr>
        <w:t>时期，必须坚持党的全面领导、坚持人民至上、坚持高质量发展、坚持全面深化改革、坚持有效市场和有为政府相结合、坚持统筹发展和安全，同时着眼于钢城发展实际，把解放思想、勇于争先、统筹兼顾、真抓实干贯穿始终，注重实施工业强区战略、注重创新驱动发展、注重城市内涵式发展、注重促进人的全面发展，推动经济持续健康发展和社会全面进步。</w:t>
      </w:r>
    </w:p>
    <w:p w14:paraId="20F0C5CB" w14:textId="77777777" w:rsidR="00080503" w:rsidRDefault="003A23BA">
      <w:pPr>
        <w:pStyle w:val="a3"/>
        <w:overflowPunct w:val="0"/>
        <w:spacing w:before="240" w:line="594" w:lineRule="exact"/>
        <w:jc w:val="center"/>
        <w:rPr>
          <w:rFonts w:ascii="宋体" w:eastAsia="黑体" w:hAnsi="宋体" w:cs="方正仿宋简体"/>
          <w:sz w:val="32"/>
          <w:szCs w:val="32"/>
        </w:rPr>
      </w:pPr>
      <w:r>
        <w:rPr>
          <w:rFonts w:ascii="宋体" w:eastAsia="黑体" w:hAnsi="宋体" w:cs="方正仿宋简体" w:hint="eastAsia"/>
          <w:sz w:val="32"/>
          <w:szCs w:val="32"/>
        </w:rPr>
        <w:t>第三节</w:t>
      </w:r>
      <w:r>
        <w:rPr>
          <w:rFonts w:ascii="宋体" w:eastAsia="黑体" w:hAnsi="宋体" w:cs="方正仿宋简体" w:hint="eastAsia"/>
          <w:sz w:val="32"/>
          <w:szCs w:val="32"/>
        </w:rPr>
        <w:t xml:space="preserve"> </w:t>
      </w:r>
      <w:r>
        <w:rPr>
          <w:rFonts w:ascii="宋体" w:eastAsia="黑体" w:hAnsi="宋体" w:cs="方正仿宋简体"/>
          <w:sz w:val="32"/>
          <w:szCs w:val="32"/>
        </w:rPr>
        <w:t xml:space="preserve"> </w:t>
      </w:r>
      <w:r>
        <w:rPr>
          <w:rFonts w:ascii="宋体" w:eastAsia="黑体" w:hAnsi="宋体" w:cs="方正仿宋简体" w:hint="eastAsia"/>
          <w:sz w:val="32"/>
          <w:szCs w:val="32"/>
        </w:rPr>
        <w:t>发展目标</w:t>
      </w:r>
    </w:p>
    <w:p w14:paraId="417E0578"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高质量发展实现新跃升。</w:t>
      </w:r>
      <w:r>
        <w:rPr>
          <w:rFonts w:ascii="宋体" w:eastAsia="方正仿宋简体" w:hAnsi="宋体" w:cs="方正仿宋简体" w:hint="eastAsia"/>
          <w:sz w:val="32"/>
          <w:szCs w:val="32"/>
        </w:rPr>
        <w:t>经济保持平稳健康增长，全要素生产率稳步提升，“智改数转”全面推进，消费和投资潜力不断释放，服务和融入全国统一大市场纵深推进，新型工业化、信息化、城镇化、农业现代化取得重大进展，制造业比重保持在合理区间，“</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”主导产业持续壮大，新质生产力加快发展，具有钢城特色的现代化产业体系建设实现重大突破。</w:t>
      </w:r>
    </w:p>
    <w:p w14:paraId="0D8E8296"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科技创新迈上新台阶。</w:t>
      </w:r>
      <w:r>
        <w:rPr>
          <w:rFonts w:ascii="宋体" w:eastAsia="方正仿宋简体" w:hAnsi="宋体" w:cs="方正仿宋简体" w:hint="eastAsia"/>
          <w:sz w:val="32"/>
          <w:szCs w:val="32"/>
        </w:rPr>
        <w:t>科技创新和产业创新深度融合，全社会研发投入强度稳步提高，企业创新主体作用更加凸显，主导产业关键核心技术攻关取得突破，科技成果本地转化和产业化水平提高，高层次创新人才与技能型人才队伍持续壮大。创新平台能级显著提升，省级以上平台数量稳步增加，区科创中心、区产业研发中心、畜禽基因编辑中心、动物</w:t>
      </w:r>
      <w:r>
        <w:rPr>
          <w:rFonts w:ascii="宋体" w:eastAsia="方正仿宋简体" w:hAnsi="宋体" w:cs="方正仿宋简体" w:hint="eastAsia"/>
          <w:sz w:val="32"/>
          <w:szCs w:val="32"/>
        </w:rPr>
        <w:t>P3</w:t>
      </w:r>
      <w:r>
        <w:rPr>
          <w:rFonts w:ascii="宋体" w:eastAsia="方正仿宋简体" w:hAnsi="宋体" w:cs="方正仿宋简体" w:hint="eastAsia"/>
          <w:sz w:val="32"/>
          <w:szCs w:val="32"/>
        </w:rPr>
        <w:t>实验室等平台载体效能充分释放，着力打造鲁中地区创新创业高地和人才集聚高地。</w:t>
      </w:r>
    </w:p>
    <w:p w14:paraId="4D24CDB8"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全面深化改革取得新突破。</w:t>
      </w:r>
      <w:r>
        <w:rPr>
          <w:rFonts w:ascii="宋体" w:eastAsia="方正仿宋简体" w:hAnsi="宋体" w:cs="方正仿宋简体" w:hint="eastAsia"/>
          <w:sz w:val="32"/>
          <w:szCs w:val="32"/>
        </w:rPr>
        <w:t>重点领域和关键环节改革水平明</w:t>
      </w:r>
      <w:r>
        <w:rPr>
          <w:rFonts w:ascii="宋体" w:eastAsia="方正仿宋简体" w:hAnsi="宋体" w:cs="方正仿宋简体" w:hint="eastAsia"/>
          <w:sz w:val="32"/>
          <w:szCs w:val="32"/>
        </w:rPr>
        <w:lastRenderedPageBreak/>
        <w:t>显提高，市场经济、民主法治、先进文化、生态文明等体制机制更加健全。营商环境更加优化，国资国企改革持续深化，民营经济发展活力明显增强，辐射带动鲁中南地区的战略支点建设取得重大进展。</w:t>
      </w:r>
    </w:p>
    <w:p w14:paraId="48941090"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生态文明建设达到新高度。</w:t>
      </w:r>
      <w:r>
        <w:rPr>
          <w:rFonts w:ascii="宋体" w:eastAsia="方正仿宋简体" w:hAnsi="宋体" w:cs="方正仿宋简体" w:hint="eastAsia"/>
          <w:sz w:val="32"/>
          <w:szCs w:val="32"/>
        </w:rPr>
        <w:t>落实黄河流域生态保护和高质量发展战略取得明显成效，钢铁等重点行业和企业能效水平持续提高，循环经济发展水平显著提高，大气、水、土壤环境质量持续改善，主要污染物排放总量持续减少，生态环境治理体系更加完善，城市人居环境显著改善，“山水之中、绿色钢城”独特风貌愈发彰显。</w:t>
      </w:r>
    </w:p>
    <w:p w14:paraId="4C8CC90F"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社会文明程度实现新提升。</w:t>
      </w:r>
      <w:r>
        <w:rPr>
          <w:rFonts w:ascii="宋体" w:eastAsia="方正仿宋简体" w:hAnsi="宋体" w:cs="方正仿宋简体" w:hint="eastAsia"/>
          <w:sz w:val="32"/>
          <w:szCs w:val="32"/>
        </w:rPr>
        <w:t>文化自信更加坚定，主流思想舆论不断巩固壮大，社会主义核心价值观广泛践行，文化创新创造活力不断激发，文化事业和文化产业繁荣发展，文体旅商进一步融合发展，群众精神文化生活水平日益提高。</w:t>
      </w:r>
    </w:p>
    <w:p w14:paraId="485E3AC8"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城市功能和人民生活品质得到新提高。</w:t>
      </w:r>
      <w:r>
        <w:rPr>
          <w:rFonts w:ascii="宋体" w:eastAsia="方正仿宋简体" w:hAnsi="宋体" w:cs="方正仿宋简体" w:hint="eastAsia"/>
          <w:sz w:val="32"/>
          <w:szCs w:val="32"/>
        </w:rPr>
        <w:t>城乡空间、产业布局和资源配置更加科学合理，城市功能优化、品质提升，乡村全面振兴扎实推进，城乡融合发展格局不断优化。高质量充分就业取得新进展，居民收入增长和经济增长同步、劳动报酬提高和劳动生产率提高同步，城乡居民收入差距持续缩小，社会保障制度更加优化、更可持续，公共服务更加均衡普惠、共享可及，覆盖全生命周期的人口服务体系更加健全。</w:t>
      </w:r>
    </w:p>
    <w:p w14:paraId="6209B92C" w14:textId="77777777" w:rsidR="00080503" w:rsidRDefault="003A23BA">
      <w:pPr>
        <w:overflowPunct w:val="0"/>
        <w:spacing w:line="594" w:lineRule="exact"/>
        <w:ind w:firstLineChars="200" w:firstLine="640"/>
        <w:rPr>
          <w:rFonts w:ascii="宋体" w:eastAsia="方正仿宋简体" w:hAnsi="宋体" w:cs="方正仿宋简体"/>
          <w:sz w:val="32"/>
          <w:szCs w:val="32"/>
        </w:rPr>
      </w:pPr>
      <w:r>
        <w:rPr>
          <w:rFonts w:ascii="宋体" w:eastAsia="方正楷体简体" w:hAnsi="宋体" w:cs="方正楷体简体" w:hint="eastAsia"/>
          <w:sz w:val="32"/>
          <w:szCs w:val="32"/>
        </w:rPr>
        <w:t>城市治理开创新局面。</w:t>
      </w:r>
      <w:r>
        <w:rPr>
          <w:rFonts w:ascii="宋体" w:eastAsia="方正仿宋简体" w:hAnsi="宋体" w:cs="方正仿宋简体" w:hint="eastAsia"/>
          <w:sz w:val="32"/>
          <w:szCs w:val="32"/>
        </w:rPr>
        <w:t>民主法治建设扎实推进，党建引领基</w:t>
      </w:r>
      <w:r>
        <w:rPr>
          <w:rFonts w:ascii="宋体" w:eastAsia="方正仿宋简体" w:hAnsi="宋体" w:cs="方正仿宋简体" w:hint="eastAsia"/>
          <w:sz w:val="32"/>
          <w:szCs w:val="32"/>
        </w:rPr>
        <w:lastRenderedPageBreak/>
        <w:t>层治理效能持续提升，城市治理智慧化精细化水平显著提高，城市安全韧性持续增强，防范化解风险能力、自然灾害防御能力、社会治理和公共安全治理水平明显提高，建成更高水平平安钢城、法治钢城。</w:t>
      </w:r>
    </w:p>
    <w:p w14:paraId="13722FF6" w14:textId="77777777" w:rsidR="00080503" w:rsidRDefault="003A23BA">
      <w:pPr>
        <w:pStyle w:val="a3"/>
        <w:overflowPunct w:val="0"/>
        <w:spacing w:line="594"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在此基础上再奋斗五年，到</w:t>
      </w:r>
      <w:r>
        <w:rPr>
          <w:rFonts w:ascii="宋体" w:eastAsia="方正仿宋简体" w:hAnsi="宋体" w:cs="方正仿宋简体" w:hint="eastAsia"/>
          <w:sz w:val="32"/>
          <w:szCs w:val="32"/>
        </w:rPr>
        <w:t>2</w:t>
      </w:r>
      <w:r>
        <w:rPr>
          <w:rFonts w:ascii="宋体" w:eastAsia="方正仿宋简体" w:hAnsi="宋体" w:cs="方正仿宋简体"/>
          <w:sz w:val="32"/>
          <w:szCs w:val="32"/>
        </w:rPr>
        <w:t>035</w:t>
      </w:r>
      <w:r>
        <w:rPr>
          <w:rFonts w:ascii="宋体" w:eastAsia="方正仿宋简体" w:hAnsi="宋体" w:cs="方正仿宋简体" w:hint="eastAsia"/>
          <w:sz w:val="32"/>
          <w:szCs w:val="32"/>
        </w:rPr>
        <w:t>年实现我区经济实力、科技实力、综合竞争力和辐射带动力大幅跃升，人民生活更加幸福美好，基本建成现代化高品质美丽钢城。</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35"/>
        <w:gridCol w:w="568"/>
        <w:gridCol w:w="1575"/>
        <w:gridCol w:w="2394"/>
        <w:gridCol w:w="850"/>
        <w:gridCol w:w="852"/>
        <w:gridCol w:w="1054"/>
        <w:gridCol w:w="800"/>
      </w:tblGrid>
      <w:tr w:rsidR="00080503" w14:paraId="2167EE5B" w14:textId="77777777">
        <w:trPr>
          <w:trHeight w:val="680"/>
          <w:tblHeader/>
          <w:jc w:val="center"/>
        </w:trPr>
        <w:tc>
          <w:tcPr>
            <w:tcW w:w="5000" w:type="pct"/>
            <w:gridSpan w:val="8"/>
            <w:vAlign w:val="center"/>
          </w:tcPr>
          <w:p w14:paraId="4767932B" w14:textId="77777777" w:rsidR="00080503" w:rsidRDefault="003A23BA">
            <w:pPr>
              <w:overflowPunct w:val="0"/>
              <w:spacing w:line="340" w:lineRule="exact"/>
              <w:jc w:val="center"/>
              <w:rPr>
                <w:rFonts w:ascii="宋体" w:eastAsia="黑体" w:hAnsi="宋体" w:cs="黑体"/>
                <w:sz w:val="24"/>
                <w:szCs w:val="32"/>
              </w:rPr>
            </w:pPr>
            <w:r>
              <w:rPr>
                <w:rFonts w:ascii="黑体" w:eastAsia="黑体" w:hAnsi="黑体" w:cs="方正楷体简体" w:hint="eastAsia"/>
                <w:sz w:val="28"/>
                <w:szCs w:val="28"/>
              </w:rPr>
              <w:t>专栏1  “十五五”时期经济社会发展主要目标</w:t>
            </w:r>
          </w:p>
        </w:tc>
      </w:tr>
      <w:tr w:rsidR="00080503" w14:paraId="599EE589" w14:textId="77777777">
        <w:trPr>
          <w:trHeight w:val="527"/>
          <w:tblHeader/>
          <w:jc w:val="center"/>
        </w:trPr>
        <w:tc>
          <w:tcPr>
            <w:tcW w:w="468" w:type="pct"/>
            <w:vAlign w:val="center"/>
          </w:tcPr>
          <w:p w14:paraId="6334FA42"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类别</w:t>
            </w:r>
          </w:p>
        </w:tc>
        <w:tc>
          <w:tcPr>
            <w:tcW w:w="318" w:type="pct"/>
            <w:tcMar>
              <w:left w:w="28" w:type="dxa"/>
              <w:right w:w="28" w:type="dxa"/>
            </w:tcMar>
            <w:vAlign w:val="center"/>
          </w:tcPr>
          <w:p w14:paraId="7FB126C6"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序号</w:t>
            </w:r>
          </w:p>
        </w:tc>
        <w:tc>
          <w:tcPr>
            <w:tcW w:w="2223" w:type="pct"/>
            <w:gridSpan w:val="2"/>
            <w:tcMar>
              <w:left w:w="28" w:type="dxa"/>
              <w:right w:w="28" w:type="dxa"/>
            </w:tcMar>
            <w:vAlign w:val="center"/>
          </w:tcPr>
          <w:p w14:paraId="082ABD92"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主</w:t>
            </w:r>
            <w:r>
              <w:rPr>
                <w:rFonts w:ascii="宋体" w:eastAsia="黑体" w:hAnsi="宋体" w:cs="黑体" w:hint="eastAsia"/>
                <w:sz w:val="24"/>
                <w:szCs w:val="32"/>
              </w:rPr>
              <w:t xml:space="preserve"> </w:t>
            </w:r>
            <w:r>
              <w:rPr>
                <w:rFonts w:ascii="宋体" w:eastAsia="黑体" w:hAnsi="宋体" w:cs="黑体" w:hint="eastAsia"/>
                <w:sz w:val="24"/>
                <w:szCs w:val="32"/>
              </w:rPr>
              <w:t>要</w:t>
            </w:r>
            <w:r>
              <w:rPr>
                <w:rFonts w:ascii="宋体" w:eastAsia="黑体" w:hAnsi="宋体" w:cs="黑体" w:hint="eastAsia"/>
                <w:sz w:val="24"/>
                <w:szCs w:val="32"/>
              </w:rPr>
              <w:t xml:space="preserve"> </w:t>
            </w:r>
            <w:r>
              <w:rPr>
                <w:rFonts w:ascii="宋体" w:eastAsia="黑体" w:hAnsi="宋体" w:cs="黑体" w:hint="eastAsia"/>
                <w:sz w:val="24"/>
                <w:szCs w:val="32"/>
              </w:rPr>
              <w:t>指</w:t>
            </w:r>
            <w:r>
              <w:rPr>
                <w:rFonts w:ascii="宋体" w:eastAsia="黑体" w:hAnsi="宋体" w:cs="黑体" w:hint="eastAsia"/>
                <w:sz w:val="24"/>
                <w:szCs w:val="32"/>
              </w:rPr>
              <w:t xml:space="preserve"> </w:t>
            </w:r>
            <w:r>
              <w:rPr>
                <w:rFonts w:ascii="宋体" w:eastAsia="黑体" w:hAnsi="宋体" w:cs="黑体" w:hint="eastAsia"/>
                <w:sz w:val="24"/>
                <w:szCs w:val="32"/>
              </w:rPr>
              <w:t>标</w:t>
            </w:r>
          </w:p>
        </w:tc>
        <w:tc>
          <w:tcPr>
            <w:tcW w:w="476" w:type="pct"/>
            <w:tcMar>
              <w:left w:w="28" w:type="dxa"/>
              <w:right w:w="28" w:type="dxa"/>
            </w:tcMar>
            <w:vAlign w:val="center"/>
          </w:tcPr>
          <w:p w14:paraId="752C615E"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2025</w:t>
            </w:r>
            <w:r>
              <w:rPr>
                <w:rFonts w:ascii="宋体" w:eastAsia="黑体" w:hAnsi="宋体" w:cs="黑体" w:hint="eastAsia"/>
                <w:sz w:val="24"/>
                <w:szCs w:val="32"/>
              </w:rPr>
              <w:t>年</w:t>
            </w:r>
            <w:r>
              <w:rPr>
                <w:rFonts w:ascii="宋体" w:eastAsia="黑体" w:hAnsi="宋体" w:cs="黑体" w:hint="eastAsia"/>
                <w:sz w:val="24"/>
                <w:szCs w:val="32"/>
              </w:rPr>
              <w:br/>
            </w:r>
            <w:r>
              <w:rPr>
                <w:rFonts w:ascii="宋体" w:eastAsia="黑体" w:hAnsi="宋体" w:cs="黑体" w:hint="eastAsia"/>
                <w:sz w:val="24"/>
                <w:szCs w:val="32"/>
              </w:rPr>
              <w:t>完成</w:t>
            </w:r>
          </w:p>
        </w:tc>
        <w:tc>
          <w:tcPr>
            <w:tcW w:w="477" w:type="pct"/>
            <w:tcMar>
              <w:left w:w="28" w:type="dxa"/>
              <w:right w:w="28" w:type="dxa"/>
            </w:tcMar>
            <w:vAlign w:val="center"/>
          </w:tcPr>
          <w:p w14:paraId="6BE703FA"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2030</w:t>
            </w:r>
            <w:r>
              <w:rPr>
                <w:rFonts w:ascii="宋体" w:eastAsia="黑体" w:hAnsi="宋体" w:cs="黑体" w:hint="eastAsia"/>
                <w:sz w:val="24"/>
                <w:szCs w:val="32"/>
              </w:rPr>
              <w:t>年</w:t>
            </w:r>
            <w:r>
              <w:rPr>
                <w:rFonts w:ascii="宋体" w:eastAsia="黑体" w:hAnsi="宋体" w:cs="黑体" w:hint="eastAsia"/>
                <w:sz w:val="24"/>
                <w:szCs w:val="32"/>
              </w:rPr>
              <w:br/>
            </w:r>
            <w:r>
              <w:rPr>
                <w:rFonts w:ascii="宋体" w:eastAsia="黑体" w:hAnsi="宋体" w:cs="黑体" w:hint="eastAsia"/>
                <w:sz w:val="24"/>
                <w:szCs w:val="32"/>
              </w:rPr>
              <w:t>目标</w:t>
            </w:r>
          </w:p>
        </w:tc>
        <w:tc>
          <w:tcPr>
            <w:tcW w:w="590" w:type="pct"/>
            <w:tcMar>
              <w:left w:w="28" w:type="dxa"/>
              <w:right w:w="28" w:type="dxa"/>
            </w:tcMar>
            <w:vAlign w:val="center"/>
          </w:tcPr>
          <w:p w14:paraId="4273E052"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年均增长（</w:t>
            </w:r>
            <w:r>
              <w:rPr>
                <w:rFonts w:ascii="宋体" w:eastAsia="黑体" w:hAnsi="宋体" w:cs="黑体" w:hint="eastAsia"/>
                <w:sz w:val="24"/>
                <w:szCs w:val="32"/>
              </w:rPr>
              <w:t>%</w:t>
            </w:r>
            <w:r>
              <w:rPr>
                <w:rFonts w:ascii="宋体" w:eastAsia="黑体" w:hAnsi="宋体" w:cs="黑体" w:hint="eastAsia"/>
                <w:sz w:val="24"/>
                <w:szCs w:val="32"/>
              </w:rPr>
              <w:t>）</w:t>
            </w:r>
          </w:p>
        </w:tc>
        <w:tc>
          <w:tcPr>
            <w:tcW w:w="448" w:type="pct"/>
            <w:tcMar>
              <w:left w:w="28" w:type="dxa"/>
              <w:right w:w="28" w:type="dxa"/>
            </w:tcMar>
            <w:vAlign w:val="center"/>
          </w:tcPr>
          <w:p w14:paraId="53F22AF3"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指标</w:t>
            </w:r>
          </w:p>
          <w:p w14:paraId="71361A52" w14:textId="77777777" w:rsidR="00080503" w:rsidRDefault="003A23BA">
            <w:pPr>
              <w:overflowPunct w:val="0"/>
              <w:spacing w:line="240" w:lineRule="exact"/>
              <w:jc w:val="center"/>
              <w:rPr>
                <w:rFonts w:ascii="宋体" w:eastAsia="黑体" w:hAnsi="宋体" w:cs="黑体"/>
                <w:sz w:val="24"/>
                <w:szCs w:val="32"/>
              </w:rPr>
            </w:pPr>
            <w:r>
              <w:rPr>
                <w:rFonts w:ascii="宋体" w:eastAsia="黑体" w:hAnsi="宋体" w:cs="黑体" w:hint="eastAsia"/>
                <w:sz w:val="24"/>
                <w:szCs w:val="32"/>
              </w:rPr>
              <w:t>属性</w:t>
            </w:r>
          </w:p>
        </w:tc>
      </w:tr>
      <w:tr w:rsidR="00080503" w14:paraId="6883CA76" w14:textId="77777777">
        <w:trPr>
          <w:trHeight w:val="437"/>
          <w:jc w:val="center"/>
        </w:trPr>
        <w:tc>
          <w:tcPr>
            <w:tcW w:w="468" w:type="pct"/>
            <w:vMerge w:val="restart"/>
            <w:vAlign w:val="center"/>
          </w:tcPr>
          <w:p w14:paraId="7959116D" w14:textId="77777777" w:rsidR="00080503" w:rsidRDefault="003A23BA">
            <w:pPr>
              <w:overflowPunct w:val="0"/>
              <w:spacing w:line="240" w:lineRule="exact"/>
              <w:jc w:val="center"/>
              <w:rPr>
                <w:rFonts w:ascii="黑体" w:eastAsia="黑体" w:hAnsi="黑体" w:cs="方正楷体简体"/>
                <w:sz w:val="24"/>
              </w:rPr>
            </w:pPr>
            <w:r>
              <w:rPr>
                <w:rFonts w:ascii="黑体" w:eastAsia="黑体" w:hAnsi="黑体" w:cs="方正楷体简体" w:hint="eastAsia"/>
                <w:sz w:val="24"/>
              </w:rPr>
              <w:t>经济发展</w:t>
            </w:r>
          </w:p>
        </w:tc>
        <w:tc>
          <w:tcPr>
            <w:tcW w:w="318" w:type="pct"/>
            <w:tcMar>
              <w:left w:w="28" w:type="dxa"/>
              <w:right w:w="28" w:type="dxa"/>
            </w:tcMar>
            <w:vAlign w:val="center"/>
          </w:tcPr>
          <w:p w14:paraId="14021AA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w:t>
            </w:r>
          </w:p>
        </w:tc>
        <w:tc>
          <w:tcPr>
            <w:tcW w:w="2223" w:type="pct"/>
            <w:gridSpan w:val="2"/>
            <w:tcMar>
              <w:left w:w="28" w:type="dxa"/>
              <w:right w:w="28" w:type="dxa"/>
            </w:tcMar>
            <w:vAlign w:val="center"/>
          </w:tcPr>
          <w:p w14:paraId="520FA6F4"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地区生产总值增速（</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tcMar>
              <w:left w:w="28" w:type="dxa"/>
              <w:right w:w="28" w:type="dxa"/>
            </w:tcMar>
            <w:vAlign w:val="center"/>
          </w:tcPr>
          <w:p w14:paraId="2E962CE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2.4</w:t>
            </w:r>
          </w:p>
        </w:tc>
        <w:tc>
          <w:tcPr>
            <w:tcW w:w="477" w:type="pct"/>
            <w:tcMar>
              <w:left w:w="28" w:type="dxa"/>
              <w:right w:w="28" w:type="dxa"/>
            </w:tcMar>
            <w:vAlign w:val="center"/>
          </w:tcPr>
          <w:p w14:paraId="3C032C1C"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590" w:type="pct"/>
            <w:tcMar>
              <w:left w:w="28" w:type="dxa"/>
              <w:right w:w="28" w:type="dxa"/>
            </w:tcMar>
            <w:vAlign w:val="center"/>
          </w:tcPr>
          <w:p w14:paraId="0F292FA1"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5</w:t>
            </w:r>
          </w:p>
        </w:tc>
        <w:tc>
          <w:tcPr>
            <w:tcW w:w="448" w:type="pct"/>
            <w:tcMar>
              <w:left w:w="28" w:type="dxa"/>
              <w:right w:w="28" w:type="dxa"/>
            </w:tcMar>
            <w:vAlign w:val="center"/>
          </w:tcPr>
          <w:p w14:paraId="34B5A68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6E83F869" w14:textId="77777777">
        <w:trPr>
          <w:trHeight w:val="437"/>
          <w:jc w:val="center"/>
        </w:trPr>
        <w:tc>
          <w:tcPr>
            <w:tcW w:w="468" w:type="pct"/>
            <w:vMerge/>
            <w:vAlign w:val="center"/>
          </w:tcPr>
          <w:p w14:paraId="1527DAC9" w14:textId="77777777" w:rsidR="00080503" w:rsidRDefault="00080503">
            <w:pPr>
              <w:overflowPunct w:val="0"/>
              <w:spacing w:line="240" w:lineRule="exact"/>
              <w:jc w:val="center"/>
              <w:rPr>
                <w:rFonts w:ascii="黑体" w:eastAsia="黑体" w:hAnsi="黑体" w:cs="方正楷体简体"/>
                <w:sz w:val="24"/>
              </w:rPr>
            </w:pPr>
          </w:p>
        </w:tc>
        <w:tc>
          <w:tcPr>
            <w:tcW w:w="318" w:type="pct"/>
            <w:tcMar>
              <w:left w:w="28" w:type="dxa"/>
              <w:right w:w="28" w:type="dxa"/>
            </w:tcMar>
            <w:vAlign w:val="center"/>
          </w:tcPr>
          <w:p w14:paraId="76314C5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2</w:t>
            </w:r>
          </w:p>
        </w:tc>
        <w:tc>
          <w:tcPr>
            <w:tcW w:w="2223" w:type="pct"/>
            <w:gridSpan w:val="2"/>
            <w:tcMar>
              <w:left w:w="28" w:type="dxa"/>
              <w:right w:w="28" w:type="dxa"/>
            </w:tcMar>
            <w:vAlign w:val="center"/>
          </w:tcPr>
          <w:p w14:paraId="773EF642"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常住人口城镇化率（</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shd w:val="clear" w:color="auto" w:fill="auto"/>
            <w:tcMar>
              <w:left w:w="28" w:type="dxa"/>
              <w:right w:w="28" w:type="dxa"/>
            </w:tcMar>
            <w:vAlign w:val="center"/>
          </w:tcPr>
          <w:p w14:paraId="39738DE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72.87</w:t>
            </w:r>
          </w:p>
        </w:tc>
        <w:tc>
          <w:tcPr>
            <w:tcW w:w="477" w:type="pct"/>
            <w:shd w:val="clear" w:color="auto" w:fill="auto"/>
            <w:tcMar>
              <w:left w:w="28" w:type="dxa"/>
              <w:right w:w="28" w:type="dxa"/>
            </w:tcMar>
            <w:vAlign w:val="center"/>
          </w:tcPr>
          <w:p w14:paraId="301B8B08"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75</w:t>
            </w:r>
            <w:r>
              <w:rPr>
                <w:rFonts w:ascii="宋体" w:eastAsia="方正仿宋简体" w:hAnsi="宋体" w:cs="方正楷体简体" w:hint="eastAsia"/>
                <w:sz w:val="24"/>
              </w:rPr>
              <w:t>左右</w:t>
            </w:r>
          </w:p>
        </w:tc>
        <w:tc>
          <w:tcPr>
            <w:tcW w:w="590" w:type="pct"/>
            <w:shd w:val="clear" w:color="auto" w:fill="auto"/>
            <w:tcMar>
              <w:left w:w="28" w:type="dxa"/>
              <w:right w:w="28" w:type="dxa"/>
            </w:tcMar>
            <w:vAlign w:val="center"/>
          </w:tcPr>
          <w:p w14:paraId="11988649"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shd w:val="clear" w:color="auto" w:fill="auto"/>
            <w:tcMar>
              <w:left w:w="28" w:type="dxa"/>
              <w:right w:w="28" w:type="dxa"/>
            </w:tcMar>
            <w:vAlign w:val="center"/>
          </w:tcPr>
          <w:p w14:paraId="002FCD4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7C79A75A" w14:textId="77777777">
        <w:trPr>
          <w:trHeight w:val="437"/>
          <w:jc w:val="center"/>
        </w:trPr>
        <w:tc>
          <w:tcPr>
            <w:tcW w:w="468" w:type="pct"/>
            <w:vMerge w:val="restart"/>
            <w:vAlign w:val="center"/>
          </w:tcPr>
          <w:p w14:paraId="4B8C6F7E" w14:textId="77777777" w:rsidR="00080503" w:rsidRDefault="003A23BA">
            <w:pPr>
              <w:overflowPunct w:val="0"/>
              <w:spacing w:line="240" w:lineRule="exact"/>
              <w:jc w:val="center"/>
              <w:rPr>
                <w:rFonts w:ascii="黑体" w:eastAsia="黑体" w:hAnsi="黑体" w:cs="方正楷体简体"/>
                <w:sz w:val="24"/>
              </w:rPr>
            </w:pPr>
            <w:r>
              <w:rPr>
                <w:rFonts w:ascii="黑体" w:eastAsia="黑体" w:hAnsi="黑体" w:cs="方正楷体简体" w:hint="eastAsia"/>
                <w:sz w:val="24"/>
              </w:rPr>
              <w:t>创新驱动</w:t>
            </w:r>
          </w:p>
        </w:tc>
        <w:tc>
          <w:tcPr>
            <w:tcW w:w="318" w:type="pct"/>
            <w:shd w:val="clear" w:color="auto" w:fill="auto"/>
            <w:tcMar>
              <w:left w:w="28" w:type="dxa"/>
              <w:right w:w="28" w:type="dxa"/>
            </w:tcMar>
            <w:vAlign w:val="center"/>
          </w:tcPr>
          <w:p w14:paraId="7C1AB877"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3</w:t>
            </w:r>
          </w:p>
        </w:tc>
        <w:tc>
          <w:tcPr>
            <w:tcW w:w="2223" w:type="pct"/>
            <w:gridSpan w:val="2"/>
            <w:tcMar>
              <w:left w:w="28" w:type="dxa"/>
              <w:right w:w="28" w:type="dxa"/>
            </w:tcMar>
            <w:vAlign w:val="center"/>
          </w:tcPr>
          <w:p w14:paraId="20D8E23B"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全社会研发经费投入增长（</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tcMar>
              <w:left w:w="28" w:type="dxa"/>
              <w:right w:w="28" w:type="dxa"/>
            </w:tcMar>
            <w:vAlign w:val="center"/>
          </w:tcPr>
          <w:p w14:paraId="0CD5AC3E"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8.13</w:t>
            </w:r>
          </w:p>
        </w:tc>
        <w:tc>
          <w:tcPr>
            <w:tcW w:w="477" w:type="pct"/>
            <w:tcMar>
              <w:left w:w="28" w:type="dxa"/>
              <w:right w:w="28" w:type="dxa"/>
            </w:tcMar>
            <w:vAlign w:val="center"/>
          </w:tcPr>
          <w:p w14:paraId="0F3CBB3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590" w:type="pct"/>
            <w:tcMar>
              <w:left w:w="28" w:type="dxa"/>
              <w:right w:w="28" w:type="dxa"/>
            </w:tcMar>
            <w:vAlign w:val="center"/>
          </w:tcPr>
          <w:p w14:paraId="04C61196"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w:t>
            </w:r>
          </w:p>
        </w:tc>
        <w:tc>
          <w:tcPr>
            <w:tcW w:w="448" w:type="pct"/>
            <w:tcMar>
              <w:left w:w="28" w:type="dxa"/>
              <w:right w:w="28" w:type="dxa"/>
            </w:tcMar>
            <w:vAlign w:val="center"/>
          </w:tcPr>
          <w:p w14:paraId="7566CDC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1403269A" w14:textId="77777777">
        <w:trPr>
          <w:trHeight w:val="437"/>
          <w:jc w:val="center"/>
        </w:trPr>
        <w:tc>
          <w:tcPr>
            <w:tcW w:w="468" w:type="pct"/>
            <w:vMerge/>
            <w:vAlign w:val="center"/>
          </w:tcPr>
          <w:p w14:paraId="4EBA170B"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5AFBCAA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4</w:t>
            </w:r>
          </w:p>
        </w:tc>
        <w:tc>
          <w:tcPr>
            <w:tcW w:w="2223" w:type="pct"/>
            <w:gridSpan w:val="2"/>
            <w:shd w:val="clear" w:color="auto" w:fill="auto"/>
            <w:tcMar>
              <w:left w:w="28" w:type="dxa"/>
              <w:right w:w="28" w:type="dxa"/>
            </w:tcMar>
            <w:vAlign w:val="center"/>
          </w:tcPr>
          <w:p w14:paraId="3E150550"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每万人口高价值发明专利拥有量（件）</w:t>
            </w:r>
          </w:p>
        </w:tc>
        <w:tc>
          <w:tcPr>
            <w:tcW w:w="476" w:type="pct"/>
            <w:tcMar>
              <w:left w:w="28" w:type="dxa"/>
              <w:right w:w="28" w:type="dxa"/>
            </w:tcMar>
            <w:vAlign w:val="center"/>
          </w:tcPr>
          <w:p w14:paraId="759B53C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18</w:t>
            </w:r>
          </w:p>
        </w:tc>
        <w:tc>
          <w:tcPr>
            <w:tcW w:w="477" w:type="pct"/>
            <w:tcMar>
              <w:left w:w="28" w:type="dxa"/>
              <w:right w:w="28" w:type="dxa"/>
            </w:tcMar>
            <w:vAlign w:val="center"/>
          </w:tcPr>
          <w:p w14:paraId="1593079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24</w:t>
            </w:r>
          </w:p>
        </w:tc>
        <w:tc>
          <w:tcPr>
            <w:tcW w:w="590" w:type="pct"/>
            <w:tcMar>
              <w:left w:w="28" w:type="dxa"/>
              <w:right w:w="28" w:type="dxa"/>
            </w:tcMar>
            <w:vAlign w:val="center"/>
          </w:tcPr>
          <w:p w14:paraId="0C324FD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6C35FD5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53151F37" w14:textId="77777777">
        <w:trPr>
          <w:trHeight w:val="437"/>
          <w:jc w:val="center"/>
        </w:trPr>
        <w:tc>
          <w:tcPr>
            <w:tcW w:w="468" w:type="pct"/>
            <w:vMerge w:val="restart"/>
            <w:vAlign w:val="center"/>
          </w:tcPr>
          <w:p w14:paraId="4080DFBD" w14:textId="77777777" w:rsidR="00080503" w:rsidRDefault="003A23BA">
            <w:pPr>
              <w:overflowPunct w:val="0"/>
              <w:spacing w:line="240" w:lineRule="exact"/>
              <w:jc w:val="center"/>
              <w:rPr>
                <w:rFonts w:ascii="黑体" w:eastAsia="黑体" w:hAnsi="黑体" w:cs="方正楷体简体"/>
                <w:sz w:val="24"/>
              </w:rPr>
            </w:pPr>
            <w:r>
              <w:rPr>
                <w:rFonts w:ascii="黑体" w:eastAsia="黑体" w:hAnsi="黑体" w:cs="方正楷体简体" w:hint="eastAsia"/>
                <w:sz w:val="24"/>
              </w:rPr>
              <w:t>民生福祉</w:t>
            </w:r>
          </w:p>
        </w:tc>
        <w:tc>
          <w:tcPr>
            <w:tcW w:w="318" w:type="pct"/>
            <w:shd w:val="clear" w:color="auto" w:fill="auto"/>
            <w:tcMar>
              <w:left w:w="28" w:type="dxa"/>
              <w:right w:w="28" w:type="dxa"/>
            </w:tcMar>
            <w:vAlign w:val="center"/>
          </w:tcPr>
          <w:p w14:paraId="096FC06E"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5</w:t>
            </w:r>
          </w:p>
        </w:tc>
        <w:tc>
          <w:tcPr>
            <w:tcW w:w="2223" w:type="pct"/>
            <w:gridSpan w:val="2"/>
            <w:shd w:val="clear" w:color="auto" w:fill="auto"/>
            <w:tcMar>
              <w:left w:w="28" w:type="dxa"/>
              <w:right w:w="28" w:type="dxa"/>
            </w:tcMar>
            <w:vAlign w:val="center"/>
          </w:tcPr>
          <w:p w14:paraId="4593DC8F" w14:textId="77777777" w:rsidR="00080503" w:rsidRDefault="003A23BA">
            <w:pPr>
              <w:overflowPunct w:val="0"/>
              <w:spacing w:line="240" w:lineRule="exact"/>
              <w:jc w:val="left"/>
              <w:rPr>
                <w:rFonts w:ascii="宋体" w:eastAsia="方正仿宋简体" w:hAnsi="宋体" w:cs="方正楷体简体"/>
                <w:sz w:val="24"/>
              </w:rPr>
            </w:pPr>
            <w:r>
              <w:rPr>
                <w:rFonts w:ascii="宋体" w:eastAsia="方正仿宋简体" w:hAnsi="宋体" w:cs="方正楷体简体" w:hint="eastAsia"/>
                <w:sz w:val="24"/>
              </w:rPr>
              <w:t>新增城镇就业人数（万人）</w:t>
            </w:r>
          </w:p>
        </w:tc>
        <w:tc>
          <w:tcPr>
            <w:tcW w:w="476" w:type="pct"/>
            <w:shd w:val="clear" w:color="auto" w:fill="auto"/>
            <w:tcMar>
              <w:left w:w="28" w:type="dxa"/>
              <w:right w:w="28" w:type="dxa"/>
            </w:tcMar>
            <w:vAlign w:val="center"/>
          </w:tcPr>
          <w:p w14:paraId="78EF0F3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0.26</w:t>
            </w:r>
          </w:p>
        </w:tc>
        <w:tc>
          <w:tcPr>
            <w:tcW w:w="477" w:type="pct"/>
            <w:shd w:val="clear" w:color="auto" w:fill="auto"/>
            <w:tcMar>
              <w:left w:w="28" w:type="dxa"/>
              <w:right w:w="28" w:type="dxa"/>
            </w:tcMar>
            <w:vAlign w:val="center"/>
          </w:tcPr>
          <w:p w14:paraId="4D16445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590" w:type="pct"/>
            <w:shd w:val="clear" w:color="auto" w:fill="auto"/>
            <w:tcMar>
              <w:left w:w="28" w:type="dxa"/>
              <w:right w:w="28" w:type="dxa"/>
            </w:tcMar>
            <w:vAlign w:val="center"/>
          </w:tcPr>
          <w:p w14:paraId="63F2EAE9"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r>
              <w:rPr>
                <w:rFonts w:ascii="宋体" w:eastAsia="方正仿宋简体" w:hAnsi="宋体" w:cs="方正楷体简体" w:hint="eastAsia"/>
                <w:sz w:val="24"/>
              </w:rPr>
              <w:t>1.1</w:t>
            </w:r>
          </w:p>
        </w:tc>
        <w:tc>
          <w:tcPr>
            <w:tcW w:w="448" w:type="pct"/>
            <w:tcMar>
              <w:left w:w="28" w:type="dxa"/>
              <w:right w:w="28" w:type="dxa"/>
            </w:tcMar>
            <w:vAlign w:val="center"/>
          </w:tcPr>
          <w:p w14:paraId="511C2B1C"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0ADC01B7" w14:textId="77777777">
        <w:trPr>
          <w:trHeight w:val="437"/>
          <w:jc w:val="center"/>
        </w:trPr>
        <w:tc>
          <w:tcPr>
            <w:tcW w:w="468" w:type="pct"/>
            <w:vMerge/>
            <w:vAlign w:val="center"/>
          </w:tcPr>
          <w:p w14:paraId="17FABBEB"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4B2BF8D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6</w:t>
            </w:r>
          </w:p>
        </w:tc>
        <w:tc>
          <w:tcPr>
            <w:tcW w:w="2223" w:type="pct"/>
            <w:gridSpan w:val="2"/>
            <w:shd w:val="clear" w:color="auto" w:fill="auto"/>
            <w:tcMar>
              <w:left w:w="28" w:type="dxa"/>
              <w:right w:w="28" w:type="dxa"/>
            </w:tcMar>
            <w:vAlign w:val="center"/>
          </w:tcPr>
          <w:p w14:paraId="0231E703"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居民人均可支配收入增长（</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tcMar>
              <w:left w:w="28" w:type="dxa"/>
              <w:right w:w="28" w:type="dxa"/>
            </w:tcMar>
            <w:vAlign w:val="center"/>
          </w:tcPr>
          <w:p w14:paraId="5E96E95E"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5.2</w:t>
            </w:r>
          </w:p>
        </w:tc>
        <w:tc>
          <w:tcPr>
            <w:tcW w:w="477" w:type="pct"/>
            <w:tcMar>
              <w:left w:w="28" w:type="dxa"/>
              <w:right w:w="28" w:type="dxa"/>
            </w:tcMar>
            <w:vAlign w:val="center"/>
          </w:tcPr>
          <w:p w14:paraId="001C97E6"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590" w:type="pct"/>
            <w:tcMar>
              <w:left w:w="28" w:type="dxa"/>
              <w:right w:w="28" w:type="dxa"/>
            </w:tcMar>
            <w:vAlign w:val="center"/>
          </w:tcPr>
          <w:p w14:paraId="350583EA"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与</w:t>
            </w:r>
            <w:r>
              <w:rPr>
                <w:rFonts w:ascii="宋体" w:eastAsia="方正仿宋简体" w:hAnsi="宋体" w:cs="方正楷体简体" w:hint="eastAsia"/>
                <w:sz w:val="24"/>
              </w:rPr>
              <w:t>GDP</w:t>
            </w:r>
            <w:r>
              <w:rPr>
                <w:rFonts w:ascii="宋体" w:eastAsia="方正仿宋简体" w:hAnsi="宋体" w:cs="方正楷体简体" w:hint="eastAsia"/>
                <w:sz w:val="24"/>
              </w:rPr>
              <w:t>同步增长</w:t>
            </w:r>
          </w:p>
        </w:tc>
        <w:tc>
          <w:tcPr>
            <w:tcW w:w="448" w:type="pct"/>
            <w:tcMar>
              <w:left w:w="28" w:type="dxa"/>
              <w:right w:w="28" w:type="dxa"/>
            </w:tcMar>
            <w:vAlign w:val="center"/>
          </w:tcPr>
          <w:p w14:paraId="12FA9BD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50A0211D" w14:textId="77777777">
        <w:trPr>
          <w:trHeight w:val="361"/>
          <w:jc w:val="center"/>
        </w:trPr>
        <w:tc>
          <w:tcPr>
            <w:tcW w:w="468" w:type="pct"/>
            <w:vMerge/>
            <w:vAlign w:val="center"/>
          </w:tcPr>
          <w:p w14:paraId="74BFAF90" w14:textId="77777777" w:rsidR="00080503" w:rsidRDefault="00080503">
            <w:pPr>
              <w:overflowPunct w:val="0"/>
              <w:spacing w:line="240" w:lineRule="exact"/>
              <w:jc w:val="center"/>
              <w:rPr>
                <w:rFonts w:ascii="黑体" w:eastAsia="黑体" w:hAnsi="黑体" w:cs="方正楷体简体"/>
                <w:sz w:val="24"/>
              </w:rPr>
            </w:pPr>
          </w:p>
        </w:tc>
        <w:tc>
          <w:tcPr>
            <w:tcW w:w="318" w:type="pct"/>
            <w:vMerge w:val="restart"/>
            <w:shd w:val="clear" w:color="auto" w:fill="auto"/>
            <w:tcMar>
              <w:left w:w="28" w:type="dxa"/>
              <w:right w:w="28" w:type="dxa"/>
            </w:tcMar>
            <w:vAlign w:val="center"/>
          </w:tcPr>
          <w:p w14:paraId="46C99D9A"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w:t>
            </w:r>
          </w:p>
        </w:tc>
        <w:tc>
          <w:tcPr>
            <w:tcW w:w="882" w:type="pct"/>
            <w:vMerge w:val="restart"/>
            <w:tcMar>
              <w:left w:w="28" w:type="dxa"/>
              <w:right w:w="28" w:type="dxa"/>
            </w:tcMar>
            <w:vAlign w:val="center"/>
          </w:tcPr>
          <w:p w14:paraId="6193D01A"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每千人口拥有医护人员数（人）</w:t>
            </w:r>
          </w:p>
        </w:tc>
        <w:tc>
          <w:tcPr>
            <w:tcW w:w="1341" w:type="pct"/>
            <w:tcMar>
              <w:left w:w="28" w:type="dxa"/>
              <w:right w:w="28" w:type="dxa"/>
            </w:tcMar>
            <w:vAlign w:val="center"/>
          </w:tcPr>
          <w:p w14:paraId="4FD418F1"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执业医师数（人）</w:t>
            </w:r>
          </w:p>
        </w:tc>
        <w:tc>
          <w:tcPr>
            <w:tcW w:w="476" w:type="pct"/>
            <w:shd w:val="clear" w:color="auto" w:fill="auto"/>
            <w:tcMar>
              <w:left w:w="28" w:type="dxa"/>
              <w:right w:w="28" w:type="dxa"/>
            </w:tcMar>
            <w:vAlign w:val="center"/>
          </w:tcPr>
          <w:p w14:paraId="61ABB9B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4.51</w:t>
            </w:r>
          </w:p>
        </w:tc>
        <w:tc>
          <w:tcPr>
            <w:tcW w:w="477" w:type="pct"/>
            <w:shd w:val="clear" w:color="auto" w:fill="auto"/>
            <w:tcMar>
              <w:left w:w="28" w:type="dxa"/>
              <w:right w:w="28" w:type="dxa"/>
            </w:tcMar>
            <w:vAlign w:val="center"/>
          </w:tcPr>
          <w:p w14:paraId="462F1D5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5.5</w:t>
            </w:r>
          </w:p>
        </w:tc>
        <w:tc>
          <w:tcPr>
            <w:tcW w:w="590" w:type="pct"/>
            <w:shd w:val="clear" w:color="auto" w:fill="auto"/>
            <w:tcMar>
              <w:left w:w="28" w:type="dxa"/>
              <w:right w:w="28" w:type="dxa"/>
            </w:tcMar>
            <w:vAlign w:val="center"/>
          </w:tcPr>
          <w:p w14:paraId="54E45E9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vMerge w:val="restart"/>
            <w:shd w:val="clear" w:color="auto" w:fill="auto"/>
            <w:tcMar>
              <w:left w:w="28" w:type="dxa"/>
              <w:right w:w="28" w:type="dxa"/>
            </w:tcMar>
            <w:vAlign w:val="center"/>
          </w:tcPr>
          <w:p w14:paraId="01C2617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06A99ECA" w14:textId="77777777">
        <w:trPr>
          <w:trHeight w:val="363"/>
          <w:jc w:val="center"/>
        </w:trPr>
        <w:tc>
          <w:tcPr>
            <w:tcW w:w="468" w:type="pct"/>
            <w:vMerge/>
            <w:vAlign w:val="center"/>
          </w:tcPr>
          <w:p w14:paraId="0D6A66B3" w14:textId="77777777" w:rsidR="00080503" w:rsidRDefault="00080503">
            <w:pPr>
              <w:overflowPunct w:val="0"/>
              <w:spacing w:line="240" w:lineRule="exact"/>
              <w:jc w:val="center"/>
              <w:rPr>
                <w:rFonts w:ascii="黑体" w:eastAsia="黑体" w:hAnsi="黑体" w:cs="方正楷体简体"/>
              </w:rPr>
            </w:pPr>
          </w:p>
        </w:tc>
        <w:tc>
          <w:tcPr>
            <w:tcW w:w="318" w:type="pct"/>
            <w:vMerge/>
            <w:shd w:val="clear" w:color="auto" w:fill="auto"/>
            <w:tcMar>
              <w:left w:w="28" w:type="dxa"/>
              <w:right w:w="28" w:type="dxa"/>
            </w:tcMar>
            <w:vAlign w:val="center"/>
          </w:tcPr>
          <w:p w14:paraId="7AE1B4DB" w14:textId="77777777" w:rsidR="00080503" w:rsidRDefault="00080503">
            <w:pPr>
              <w:overflowPunct w:val="0"/>
              <w:spacing w:line="240" w:lineRule="exact"/>
              <w:jc w:val="center"/>
              <w:rPr>
                <w:rFonts w:ascii="宋体" w:eastAsia="方正仿宋简体" w:hAnsi="宋体" w:cs="方正楷体简体"/>
              </w:rPr>
            </w:pPr>
          </w:p>
        </w:tc>
        <w:tc>
          <w:tcPr>
            <w:tcW w:w="882" w:type="pct"/>
            <w:vMerge/>
            <w:tcMar>
              <w:left w:w="28" w:type="dxa"/>
              <w:right w:w="28" w:type="dxa"/>
            </w:tcMar>
            <w:vAlign w:val="center"/>
          </w:tcPr>
          <w:p w14:paraId="5D407930" w14:textId="77777777" w:rsidR="00080503" w:rsidRDefault="00080503">
            <w:pPr>
              <w:overflowPunct w:val="0"/>
              <w:spacing w:line="240" w:lineRule="exact"/>
              <w:jc w:val="center"/>
              <w:rPr>
                <w:rFonts w:ascii="宋体" w:eastAsia="方正仿宋简体" w:hAnsi="宋体" w:cs="方正楷体简体"/>
              </w:rPr>
            </w:pPr>
          </w:p>
        </w:tc>
        <w:tc>
          <w:tcPr>
            <w:tcW w:w="1341" w:type="pct"/>
            <w:tcMar>
              <w:left w:w="28" w:type="dxa"/>
              <w:right w:w="28" w:type="dxa"/>
            </w:tcMar>
            <w:vAlign w:val="center"/>
          </w:tcPr>
          <w:p w14:paraId="3D0A3E2F" w14:textId="77777777" w:rsidR="00080503" w:rsidRDefault="003A23BA">
            <w:pPr>
              <w:overflowPunct w:val="0"/>
              <w:spacing w:line="240" w:lineRule="exact"/>
              <w:jc w:val="left"/>
              <w:rPr>
                <w:rFonts w:ascii="宋体" w:eastAsia="方正仿宋简体" w:hAnsi="宋体" w:cs="方正楷体简体"/>
                <w:sz w:val="24"/>
              </w:rPr>
            </w:pPr>
            <w:r>
              <w:rPr>
                <w:rFonts w:ascii="宋体" w:eastAsia="方正仿宋简体" w:hAnsi="宋体" w:cs="方正楷体简体" w:hint="eastAsia"/>
                <w:sz w:val="24"/>
              </w:rPr>
              <w:t>注册护士数（人）</w:t>
            </w:r>
          </w:p>
        </w:tc>
        <w:tc>
          <w:tcPr>
            <w:tcW w:w="476" w:type="pct"/>
            <w:shd w:val="clear" w:color="auto" w:fill="auto"/>
            <w:tcMar>
              <w:left w:w="28" w:type="dxa"/>
              <w:right w:w="28" w:type="dxa"/>
            </w:tcMar>
            <w:vAlign w:val="center"/>
          </w:tcPr>
          <w:p w14:paraId="26D0F606"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5.9</w:t>
            </w:r>
          </w:p>
        </w:tc>
        <w:tc>
          <w:tcPr>
            <w:tcW w:w="477" w:type="pct"/>
            <w:shd w:val="clear" w:color="auto" w:fill="auto"/>
            <w:tcMar>
              <w:left w:w="28" w:type="dxa"/>
              <w:right w:w="28" w:type="dxa"/>
            </w:tcMar>
            <w:vAlign w:val="center"/>
          </w:tcPr>
          <w:p w14:paraId="613BEEFF"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w:t>
            </w:r>
          </w:p>
        </w:tc>
        <w:tc>
          <w:tcPr>
            <w:tcW w:w="590" w:type="pct"/>
            <w:shd w:val="clear" w:color="auto" w:fill="auto"/>
            <w:tcMar>
              <w:left w:w="28" w:type="dxa"/>
              <w:right w:w="28" w:type="dxa"/>
            </w:tcMar>
            <w:vAlign w:val="center"/>
          </w:tcPr>
          <w:p w14:paraId="3C64268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vMerge/>
            <w:tcMar>
              <w:left w:w="28" w:type="dxa"/>
              <w:right w:w="28" w:type="dxa"/>
            </w:tcMar>
            <w:vAlign w:val="center"/>
          </w:tcPr>
          <w:p w14:paraId="33983DAF" w14:textId="77777777" w:rsidR="00080503" w:rsidRDefault="00080503">
            <w:pPr>
              <w:overflowPunct w:val="0"/>
              <w:spacing w:line="240" w:lineRule="exact"/>
              <w:jc w:val="center"/>
              <w:rPr>
                <w:rFonts w:ascii="宋体" w:eastAsia="方正仿宋简体" w:hAnsi="宋体" w:cs="方正楷体简体"/>
                <w:sz w:val="24"/>
              </w:rPr>
            </w:pPr>
          </w:p>
        </w:tc>
      </w:tr>
      <w:tr w:rsidR="00080503" w14:paraId="6D780CEF" w14:textId="77777777">
        <w:trPr>
          <w:trHeight w:val="437"/>
          <w:jc w:val="center"/>
        </w:trPr>
        <w:tc>
          <w:tcPr>
            <w:tcW w:w="468" w:type="pct"/>
            <w:vMerge/>
            <w:vAlign w:val="center"/>
          </w:tcPr>
          <w:p w14:paraId="30C79097"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6189EADC"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8</w:t>
            </w:r>
          </w:p>
        </w:tc>
        <w:tc>
          <w:tcPr>
            <w:tcW w:w="2223" w:type="pct"/>
            <w:gridSpan w:val="2"/>
            <w:tcMar>
              <w:left w:w="28" w:type="dxa"/>
              <w:right w:w="28" w:type="dxa"/>
            </w:tcMar>
            <w:vAlign w:val="center"/>
          </w:tcPr>
          <w:p w14:paraId="69B9F781"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养老机构护理型床位占比（</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tcMar>
              <w:left w:w="28" w:type="dxa"/>
              <w:right w:w="28" w:type="dxa"/>
            </w:tcMar>
            <w:vAlign w:val="center"/>
          </w:tcPr>
          <w:p w14:paraId="6CB65A28"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81</w:t>
            </w:r>
          </w:p>
        </w:tc>
        <w:tc>
          <w:tcPr>
            <w:tcW w:w="477" w:type="pct"/>
            <w:tcMar>
              <w:left w:w="28" w:type="dxa"/>
              <w:right w:w="28" w:type="dxa"/>
            </w:tcMar>
            <w:vAlign w:val="center"/>
          </w:tcPr>
          <w:p w14:paraId="52682B7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90</w:t>
            </w:r>
          </w:p>
        </w:tc>
        <w:tc>
          <w:tcPr>
            <w:tcW w:w="590" w:type="pct"/>
            <w:tcMar>
              <w:left w:w="28" w:type="dxa"/>
              <w:right w:w="28" w:type="dxa"/>
            </w:tcMar>
            <w:vAlign w:val="center"/>
          </w:tcPr>
          <w:p w14:paraId="4F50DEF1"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5D18FBE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5E3A1D5C" w14:textId="77777777">
        <w:trPr>
          <w:trHeight w:val="437"/>
          <w:jc w:val="center"/>
        </w:trPr>
        <w:tc>
          <w:tcPr>
            <w:tcW w:w="468" w:type="pct"/>
            <w:vMerge/>
            <w:vAlign w:val="center"/>
          </w:tcPr>
          <w:p w14:paraId="67CB322A"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10B4D1D6"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9</w:t>
            </w:r>
          </w:p>
        </w:tc>
        <w:tc>
          <w:tcPr>
            <w:tcW w:w="2223" w:type="pct"/>
            <w:gridSpan w:val="2"/>
            <w:tcMar>
              <w:left w:w="28" w:type="dxa"/>
              <w:right w:w="28" w:type="dxa"/>
            </w:tcMar>
            <w:vAlign w:val="center"/>
          </w:tcPr>
          <w:p w14:paraId="17F9090E"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3</w:t>
            </w:r>
            <w:r>
              <w:rPr>
                <w:rFonts w:ascii="宋体" w:eastAsia="方正仿宋简体" w:hAnsi="宋体" w:cs="方正楷体简体" w:hint="eastAsia"/>
                <w:sz w:val="24"/>
              </w:rPr>
              <w:t>岁以下婴幼儿入托率提高（</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shd w:val="clear" w:color="auto" w:fill="auto"/>
            <w:tcMar>
              <w:left w:w="28" w:type="dxa"/>
              <w:right w:w="28" w:type="dxa"/>
            </w:tcMar>
            <w:vAlign w:val="center"/>
          </w:tcPr>
          <w:p w14:paraId="6B9A2DA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77" w:type="pct"/>
            <w:shd w:val="clear" w:color="auto" w:fill="auto"/>
            <w:tcMar>
              <w:left w:w="28" w:type="dxa"/>
              <w:right w:w="28" w:type="dxa"/>
            </w:tcMar>
            <w:vAlign w:val="center"/>
          </w:tcPr>
          <w:p w14:paraId="51D8DD0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完成市定目标</w:t>
            </w:r>
          </w:p>
        </w:tc>
        <w:tc>
          <w:tcPr>
            <w:tcW w:w="590" w:type="pct"/>
            <w:shd w:val="clear" w:color="auto" w:fill="auto"/>
            <w:tcMar>
              <w:left w:w="28" w:type="dxa"/>
              <w:right w:w="28" w:type="dxa"/>
            </w:tcMar>
            <w:vAlign w:val="center"/>
          </w:tcPr>
          <w:p w14:paraId="06FC6ED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2568D549"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223F95D1" w14:textId="77777777">
        <w:trPr>
          <w:trHeight w:val="437"/>
          <w:jc w:val="center"/>
        </w:trPr>
        <w:tc>
          <w:tcPr>
            <w:tcW w:w="468" w:type="pct"/>
            <w:vMerge/>
            <w:vAlign w:val="center"/>
          </w:tcPr>
          <w:p w14:paraId="1C455463" w14:textId="77777777" w:rsidR="00080503" w:rsidRDefault="00080503">
            <w:pPr>
              <w:overflowPunct w:val="0"/>
              <w:spacing w:line="240" w:lineRule="exact"/>
              <w:jc w:val="center"/>
              <w:rPr>
                <w:rFonts w:ascii="黑体" w:eastAsia="黑体" w:hAnsi="黑体" w:cs="方正楷体简体"/>
                <w:sz w:val="24"/>
              </w:rPr>
            </w:pPr>
          </w:p>
        </w:tc>
        <w:tc>
          <w:tcPr>
            <w:tcW w:w="318" w:type="pct"/>
            <w:tcMar>
              <w:left w:w="28" w:type="dxa"/>
              <w:right w:w="28" w:type="dxa"/>
            </w:tcMar>
            <w:vAlign w:val="center"/>
          </w:tcPr>
          <w:p w14:paraId="65AAAB00"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10</w:t>
            </w:r>
          </w:p>
        </w:tc>
        <w:tc>
          <w:tcPr>
            <w:tcW w:w="2223" w:type="pct"/>
            <w:gridSpan w:val="2"/>
            <w:tcMar>
              <w:left w:w="28" w:type="dxa"/>
              <w:right w:w="28" w:type="dxa"/>
            </w:tcMar>
            <w:vAlign w:val="center"/>
          </w:tcPr>
          <w:p w14:paraId="6864CC6D"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人均预期寿命（岁）</w:t>
            </w:r>
          </w:p>
        </w:tc>
        <w:tc>
          <w:tcPr>
            <w:tcW w:w="476" w:type="pct"/>
            <w:shd w:val="clear" w:color="auto" w:fill="auto"/>
            <w:tcMar>
              <w:left w:w="28" w:type="dxa"/>
              <w:right w:w="28" w:type="dxa"/>
            </w:tcMar>
            <w:vAlign w:val="center"/>
          </w:tcPr>
          <w:p w14:paraId="108879F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79.1</w:t>
            </w:r>
          </w:p>
        </w:tc>
        <w:tc>
          <w:tcPr>
            <w:tcW w:w="477" w:type="pct"/>
            <w:shd w:val="clear" w:color="auto" w:fill="auto"/>
            <w:tcMar>
              <w:left w:w="28" w:type="dxa"/>
              <w:right w:w="28" w:type="dxa"/>
            </w:tcMar>
            <w:vAlign w:val="center"/>
          </w:tcPr>
          <w:p w14:paraId="7163DA99"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81.2</w:t>
            </w:r>
          </w:p>
        </w:tc>
        <w:tc>
          <w:tcPr>
            <w:tcW w:w="590" w:type="pct"/>
            <w:shd w:val="clear" w:color="auto" w:fill="auto"/>
            <w:tcMar>
              <w:left w:w="28" w:type="dxa"/>
              <w:right w:w="28" w:type="dxa"/>
            </w:tcMar>
            <w:vAlign w:val="center"/>
          </w:tcPr>
          <w:p w14:paraId="57E2D56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4D1AE411"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预期性</w:t>
            </w:r>
          </w:p>
        </w:tc>
      </w:tr>
      <w:tr w:rsidR="00080503" w14:paraId="4EAA6075" w14:textId="77777777">
        <w:trPr>
          <w:trHeight w:val="437"/>
          <w:jc w:val="center"/>
        </w:trPr>
        <w:tc>
          <w:tcPr>
            <w:tcW w:w="468" w:type="pct"/>
            <w:vMerge w:val="restart"/>
            <w:vAlign w:val="center"/>
          </w:tcPr>
          <w:p w14:paraId="3AFFA7DC" w14:textId="77777777" w:rsidR="00080503" w:rsidRDefault="003A23BA">
            <w:pPr>
              <w:overflowPunct w:val="0"/>
              <w:spacing w:line="240" w:lineRule="exact"/>
              <w:jc w:val="center"/>
              <w:rPr>
                <w:rFonts w:ascii="黑体" w:eastAsia="黑体" w:hAnsi="黑体" w:cs="方正楷体简体"/>
                <w:sz w:val="24"/>
              </w:rPr>
            </w:pPr>
            <w:r>
              <w:rPr>
                <w:rFonts w:ascii="黑体" w:eastAsia="黑体" w:hAnsi="黑体" w:cs="方正楷体简体" w:hint="eastAsia"/>
                <w:sz w:val="24"/>
              </w:rPr>
              <w:t>绿色生态</w:t>
            </w:r>
          </w:p>
        </w:tc>
        <w:tc>
          <w:tcPr>
            <w:tcW w:w="318" w:type="pct"/>
            <w:shd w:val="clear" w:color="auto" w:fill="auto"/>
            <w:tcMar>
              <w:left w:w="28" w:type="dxa"/>
              <w:right w:w="28" w:type="dxa"/>
            </w:tcMar>
            <w:vAlign w:val="center"/>
          </w:tcPr>
          <w:p w14:paraId="4ED23B72"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11</w:t>
            </w:r>
          </w:p>
        </w:tc>
        <w:tc>
          <w:tcPr>
            <w:tcW w:w="2223" w:type="pct"/>
            <w:gridSpan w:val="2"/>
            <w:tcMar>
              <w:left w:w="28" w:type="dxa"/>
              <w:right w:w="28" w:type="dxa"/>
            </w:tcMar>
            <w:vAlign w:val="center"/>
          </w:tcPr>
          <w:p w14:paraId="5ED30C63" w14:textId="77777777" w:rsidR="00080503" w:rsidRDefault="003A23BA">
            <w:pPr>
              <w:overflowPunct w:val="0"/>
              <w:spacing w:line="240" w:lineRule="exact"/>
              <w:rPr>
                <w:rFonts w:ascii="宋体" w:eastAsia="方正仿宋简体" w:hAnsi="宋体" w:cs="方正楷体简体"/>
                <w:spacing w:val="-20"/>
                <w:sz w:val="24"/>
              </w:rPr>
            </w:pPr>
            <w:r>
              <w:rPr>
                <w:rFonts w:ascii="宋体" w:eastAsia="方正仿宋简体" w:hAnsi="宋体" w:cs="方正楷体简体" w:hint="eastAsia"/>
                <w:spacing w:val="-20"/>
                <w:sz w:val="24"/>
              </w:rPr>
              <w:t>单位地区生产总值二氧化碳排放降低（</w:t>
            </w:r>
            <w:r>
              <w:rPr>
                <w:rFonts w:ascii="宋体" w:eastAsia="方正仿宋简体" w:hAnsi="宋体" w:cs="方正楷体简体" w:hint="eastAsia"/>
                <w:spacing w:val="-20"/>
                <w:sz w:val="24"/>
              </w:rPr>
              <w:t>%</w:t>
            </w:r>
            <w:r>
              <w:rPr>
                <w:rFonts w:ascii="宋体" w:eastAsia="方正仿宋简体" w:hAnsi="宋体" w:cs="方正楷体简体" w:hint="eastAsia"/>
                <w:spacing w:val="-20"/>
                <w:sz w:val="24"/>
              </w:rPr>
              <w:t>）</w:t>
            </w:r>
          </w:p>
        </w:tc>
        <w:tc>
          <w:tcPr>
            <w:tcW w:w="476" w:type="pct"/>
            <w:shd w:val="clear" w:color="auto" w:fill="auto"/>
            <w:tcMar>
              <w:left w:w="28" w:type="dxa"/>
              <w:right w:w="28" w:type="dxa"/>
            </w:tcMar>
            <w:vAlign w:val="center"/>
          </w:tcPr>
          <w:p w14:paraId="7C13C0A1"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77" w:type="pct"/>
            <w:vMerge w:val="restart"/>
            <w:shd w:val="clear" w:color="auto" w:fill="auto"/>
            <w:tcMar>
              <w:left w:w="28" w:type="dxa"/>
              <w:right w:w="28" w:type="dxa"/>
            </w:tcMar>
            <w:vAlign w:val="center"/>
          </w:tcPr>
          <w:p w14:paraId="5148C25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完成市下达任务</w:t>
            </w:r>
          </w:p>
        </w:tc>
        <w:tc>
          <w:tcPr>
            <w:tcW w:w="590" w:type="pct"/>
            <w:shd w:val="clear" w:color="auto" w:fill="auto"/>
            <w:tcMar>
              <w:left w:w="28" w:type="dxa"/>
              <w:right w:w="28" w:type="dxa"/>
            </w:tcMar>
            <w:vAlign w:val="center"/>
          </w:tcPr>
          <w:p w14:paraId="42C2B7FA"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099F9D9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约束性</w:t>
            </w:r>
          </w:p>
        </w:tc>
      </w:tr>
      <w:tr w:rsidR="00080503" w14:paraId="0D1F1120" w14:textId="77777777">
        <w:trPr>
          <w:trHeight w:val="437"/>
          <w:jc w:val="center"/>
        </w:trPr>
        <w:tc>
          <w:tcPr>
            <w:tcW w:w="468" w:type="pct"/>
            <w:vMerge/>
            <w:vAlign w:val="center"/>
          </w:tcPr>
          <w:p w14:paraId="5643A4DB"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77370DD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12</w:t>
            </w:r>
          </w:p>
        </w:tc>
        <w:tc>
          <w:tcPr>
            <w:tcW w:w="2223" w:type="pct"/>
            <w:gridSpan w:val="2"/>
            <w:tcMar>
              <w:left w:w="28" w:type="dxa"/>
              <w:right w:w="28" w:type="dxa"/>
            </w:tcMar>
            <w:vAlign w:val="center"/>
          </w:tcPr>
          <w:p w14:paraId="00AC7F41"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城市细颗粒物浓度（微克</w:t>
            </w:r>
            <w:r>
              <w:rPr>
                <w:rFonts w:ascii="宋体" w:eastAsia="方正仿宋简体" w:hAnsi="宋体" w:cs="方正楷体简体" w:hint="eastAsia"/>
                <w:sz w:val="24"/>
              </w:rPr>
              <w:t>/</w:t>
            </w:r>
            <w:r>
              <w:rPr>
                <w:rFonts w:ascii="宋体" w:eastAsia="方正仿宋简体" w:hAnsi="宋体" w:cs="方正楷体简体" w:hint="eastAsia"/>
                <w:sz w:val="24"/>
              </w:rPr>
              <w:t>立方米）</w:t>
            </w:r>
          </w:p>
        </w:tc>
        <w:tc>
          <w:tcPr>
            <w:tcW w:w="476" w:type="pct"/>
            <w:shd w:val="clear" w:color="auto" w:fill="auto"/>
            <w:tcMar>
              <w:left w:w="28" w:type="dxa"/>
              <w:right w:w="28" w:type="dxa"/>
            </w:tcMar>
            <w:vAlign w:val="center"/>
          </w:tcPr>
          <w:p w14:paraId="7EC8E500"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35</w:t>
            </w:r>
          </w:p>
        </w:tc>
        <w:tc>
          <w:tcPr>
            <w:tcW w:w="477" w:type="pct"/>
            <w:vMerge/>
            <w:shd w:val="clear" w:color="auto" w:fill="auto"/>
            <w:tcMar>
              <w:left w:w="28" w:type="dxa"/>
              <w:right w:w="28" w:type="dxa"/>
            </w:tcMar>
            <w:vAlign w:val="center"/>
          </w:tcPr>
          <w:p w14:paraId="15F799B8" w14:textId="77777777" w:rsidR="00080503" w:rsidRDefault="00080503">
            <w:pPr>
              <w:overflowPunct w:val="0"/>
              <w:spacing w:line="240" w:lineRule="exact"/>
              <w:jc w:val="center"/>
              <w:rPr>
                <w:rFonts w:ascii="宋体" w:eastAsia="方正仿宋简体" w:hAnsi="宋体" w:cs="方正楷体简体"/>
                <w:sz w:val="24"/>
              </w:rPr>
            </w:pPr>
          </w:p>
        </w:tc>
        <w:tc>
          <w:tcPr>
            <w:tcW w:w="590" w:type="pct"/>
            <w:shd w:val="clear" w:color="auto" w:fill="auto"/>
            <w:tcMar>
              <w:left w:w="28" w:type="dxa"/>
              <w:right w:w="28" w:type="dxa"/>
            </w:tcMar>
            <w:vAlign w:val="center"/>
          </w:tcPr>
          <w:p w14:paraId="368D3F5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624A71E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约束性</w:t>
            </w:r>
          </w:p>
        </w:tc>
      </w:tr>
      <w:tr w:rsidR="00080503" w14:paraId="3A5F7363" w14:textId="77777777">
        <w:trPr>
          <w:trHeight w:val="477"/>
          <w:jc w:val="center"/>
        </w:trPr>
        <w:tc>
          <w:tcPr>
            <w:tcW w:w="468" w:type="pct"/>
            <w:vMerge/>
            <w:vAlign w:val="center"/>
          </w:tcPr>
          <w:p w14:paraId="2C497800" w14:textId="77777777" w:rsidR="00080503" w:rsidRDefault="00080503">
            <w:pPr>
              <w:overflowPunct w:val="0"/>
              <w:spacing w:line="240" w:lineRule="exact"/>
              <w:jc w:val="center"/>
              <w:rPr>
                <w:rFonts w:ascii="黑体" w:eastAsia="黑体" w:hAnsi="黑体" w:cs="方正楷体简体"/>
                <w:sz w:val="24"/>
              </w:rPr>
            </w:pPr>
          </w:p>
        </w:tc>
        <w:tc>
          <w:tcPr>
            <w:tcW w:w="318" w:type="pct"/>
            <w:shd w:val="clear" w:color="auto" w:fill="auto"/>
            <w:tcMar>
              <w:left w:w="28" w:type="dxa"/>
              <w:right w:w="28" w:type="dxa"/>
            </w:tcMar>
            <w:vAlign w:val="center"/>
          </w:tcPr>
          <w:p w14:paraId="69A240F0"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13</w:t>
            </w:r>
          </w:p>
        </w:tc>
        <w:tc>
          <w:tcPr>
            <w:tcW w:w="2223" w:type="pct"/>
            <w:gridSpan w:val="2"/>
            <w:tcMar>
              <w:left w:w="28" w:type="dxa"/>
              <w:right w:w="28" w:type="dxa"/>
            </w:tcMar>
            <w:vAlign w:val="center"/>
          </w:tcPr>
          <w:p w14:paraId="28CBA67A"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优良水体比例（</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shd w:val="clear" w:color="auto" w:fill="auto"/>
            <w:tcMar>
              <w:left w:w="28" w:type="dxa"/>
              <w:right w:w="28" w:type="dxa"/>
            </w:tcMar>
            <w:vAlign w:val="center"/>
          </w:tcPr>
          <w:p w14:paraId="782D2961"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100</w:t>
            </w:r>
          </w:p>
        </w:tc>
        <w:tc>
          <w:tcPr>
            <w:tcW w:w="477" w:type="pct"/>
            <w:vMerge/>
            <w:shd w:val="clear" w:color="auto" w:fill="auto"/>
            <w:tcMar>
              <w:left w:w="28" w:type="dxa"/>
              <w:right w:w="28" w:type="dxa"/>
            </w:tcMar>
            <w:vAlign w:val="center"/>
          </w:tcPr>
          <w:p w14:paraId="1C915247" w14:textId="77777777" w:rsidR="00080503" w:rsidRDefault="00080503">
            <w:pPr>
              <w:overflowPunct w:val="0"/>
              <w:spacing w:line="240" w:lineRule="exact"/>
              <w:jc w:val="center"/>
              <w:rPr>
                <w:rFonts w:ascii="宋体" w:eastAsia="方正仿宋简体" w:hAnsi="宋体" w:cs="方正楷体简体"/>
                <w:sz w:val="24"/>
              </w:rPr>
            </w:pPr>
          </w:p>
        </w:tc>
        <w:tc>
          <w:tcPr>
            <w:tcW w:w="590" w:type="pct"/>
            <w:shd w:val="clear" w:color="auto" w:fill="auto"/>
            <w:tcMar>
              <w:left w:w="28" w:type="dxa"/>
              <w:right w:w="28" w:type="dxa"/>
            </w:tcMar>
            <w:vAlign w:val="center"/>
          </w:tcPr>
          <w:p w14:paraId="09DDEE14"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133FC55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约束性</w:t>
            </w:r>
          </w:p>
        </w:tc>
      </w:tr>
      <w:tr w:rsidR="00080503" w14:paraId="6A8C321A" w14:textId="77777777">
        <w:trPr>
          <w:trHeight w:val="437"/>
          <w:jc w:val="center"/>
        </w:trPr>
        <w:tc>
          <w:tcPr>
            <w:tcW w:w="468" w:type="pct"/>
            <w:vMerge/>
            <w:vAlign w:val="center"/>
          </w:tcPr>
          <w:p w14:paraId="61D89B77" w14:textId="77777777" w:rsidR="00080503" w:rsidRDefault="00080503">
            <w:pPr>
              <w:overflowPunct w:val="0"/>
              <w:spacing w:line="240" w:lineRule="exact"/>
              <w:jc w:val="center"/>
              <w:rPr>
                <w:rFonts w:ascii="黑体" w:eastAsia="黑体" w:hAnsi="黑体" w:cs="方正楷体简体"/>
                <w:sz w:val="24"/>
              </w:rPr>
            </w:pPr>
          </w:p>
        </w:tc>
        <w:tc>
          <w:tcPr>
            <w:tcW w:w="318" w:type="pct"/>
            <w:tcMar>
              <w:left w:w="28" w:type="dxa"/>
              <w:right w:w="28" w:type="dxa"/>
            </w:tcMar>
            <w:vAlign w:val="center"/>
          </w:tcPr>
          <w:p w14:paraId="3A3E8EA3"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14</w:t>
            </w:r>
          </w:p>
        </w:tc>
        <w:tc>
          <w:tcPr>
            <w:tcW w:w="2223" w:type="pct"/>
            <w:gridSpan w:val="2"/>
            <w:tcMar>
              <w:left w:w="28" w:type="dxa"/>
              <w:right w:w="28" w:type="dxa"/>
            </w:tcMar>
            <w:vAlign w:val="center"/>
          </w:tcPr>
          <w:p w14:paraId="1EEC71FA"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森林覆盖率（</w:t>
            </w:r>
            <w:r>
              <w:rPr>
                <w:rFonts w:ascii="宋体" w:eastAsia="方正仿宋简体" w:hAnsi="宋体" w:cs="方正楷体简体" w:hint="eastAsia"/>
                <w:sz w:val="24"/>
              </w:rPr>
              <w:t>%</w:t>
            </w:r>
            <w:r>
              <w:rPr>
                <w:rFonts w:ascii="宋体" w:eastAsia="方正仿宋简体" w:hAnsi="宋体" w:cs="方正楷体简体" w:hint="eastAsia"/>
                <w:sz w:val="24"/>
              </w:rPr>
              <w:t>）</w:t>
            </w:r>
          </w:p>
        </w:tc>
        <w:tc>
          <w:tcPr>
            <w:tcW w:w="476" w:type="pct"/>
            <w:shd w:val="clear" w:color="auto" w:fill="auto"/>
            <w:tcMar>
              <w:left w:w="28" w:type="dxa"/>
              <w:right w:w="28" w:type="dxa"/>
            </w:tcMar>
            <w:vAlign w:val="center"/>
          </w:tcPr>
          <w:p w14:paraId="0E74BA5D"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33.21</w:t>
            </w:r>
          </w:p>
        </w:tc>
        <w:tc>
          <w:tcPr>
            <w:tcW w:w="477" w:type="pct"/>
            <w:vMerge/>
            <w:shd w:val="clear" w:color="auto" w:fill="auto"/>
            <w:tcMar>
              <w:left w:w="28" w:type="dxa"/>
              <w:right w:w="28" w:type="dxa"/>
            </w:tcMar>
            <w:vAlign w:val="center"/>
          </w:tcPr>
          <w:p w14:paraId="24E92E8E" w14:textId="77777777" w:rsidR="00080503" w:rsidRDefault="00080503">
            <w:pPr>
              <w:overflowPunct w:val="0"/>
              <w:spacing w:line="240" w:lineRule="exact"/>
              <w:jc w:val="center"/>
              <w:rPr>
                <w:rFonts w:ascii="宋体" w:eastAsia="方正仿宋简体" w:hAnsi="宋体" w:cs="方正楷体简体"/>
                <w:sz w:val="24"/>
              </w:rPr>
            </w:pPr>
          </w:p>
        </w:tc>
        <w:tc>
          <w:tcPr>
            <w:tcW w:w="590" w:type="pct"/>
            <w:shd w:val="clear" w:color="auto" w:fill="auto"/>
            <w:tcMar>
              <w:left w:w="28" w:type="dxa"/>
              <w:right w:w="28" w:type="dxa"/>
            </w:tcMar>
            <w:vAlign w:val="center"/>
          </w:tcPr>
          <w:p w14:paraId="7EDAB0F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20DCAAA6"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约束性</w:t>
            </w:r>
          </w:p>
        </w:tc>
      </w:tr>
      <w:tr w:rsidR="00080503" w14:paraId="4A23B020" w14:textId="77777777">
        <w:trPr>
          <w:trHeight w:val="437"/>
          <w:jc w:val="center"/>
        </w:trPr>
        <w:tc>
          <w:tcPr>
            <w:tcW w:w="468" w:type="pct"/>
            <w:vAlign w:val="center"/>
          </w:tcPr>
          <w:p w14:paraId="491EFA78" w14:textId="77777777" w:rsidR="00080503" w:rsidRDefault="003A23BA">
            <w:pPr>
              <w:overflowPunct w:val="0"/>
              <w:spacing w:line="240" w:lineRule="exact"/>
              <w:jc w:val="center"/>
              <w:rPr>
                <w:rFonts w:ascii="黑体" w:eastAsia="黑体" w:hAnsi="黑体" w:cs="方正楷体简体"/>
                <w:sz w:val="24"/>
              </w:rPr>
            </w:pPr>
            <w:r>
              <w:rPr>
                <w:rFonts w:ascii="黑体" w:eastAsia="黑体" w:hAnsi="黑体" w:cs="方正楷体简体" w:hint="eastAsia"/>
                <w:sz w:val="24"/>
              </w:rPr>
              <w:t>安全保障</w:t>
            </w:r>
          </w:p>
        </w:tc>
        <w:tc>
          <w:tcPr>
            <w:tcW w:w="318" w:type="pct"/>
            <w:tcMar>
              <w:left w:w="28" w:type="dxa"/>
              <w:right w:w="28" w:type="dxa"/>
            </w:tcMar>
            <w:vAlign w:val="center"/>
          </w:tcPr>
          <w:p w14:paraId="11402AC0"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15</w:t>
            </w:r>
          </w:p>
        </w:tc>
        <w:tc>
          <w:tcPr>
            <w:tcW w:w="2223" w:type="pct"/>
            <w:gridSpan w:val="2"/>
            <w:tcMar>
              <w:left w:w="28" w:type="dxa"/>
              <w:right w:w="28" w:type="dxa"/>
            </w:tcMar>
            <w:vAlign w:val="center"/>
          </w:tcPr>
          <w:p w14:paraId="1B9C2EE4" w14:textId="77777777" w:rsidR="00080503" w:rsidRDefault="003A23BA">
            <w:pPr>
              <w:overflowPunct w:val="0"/>
              <w:spacing w:line="240" w:lineRule="exact"/>
              <w:rPr>
                <w:rFonts w:ascii="宋体" w:eastAsia="方正仿宋简体" w:hAnsi="宋体" w:cs="方正楷体简体"/>
                <w:sz w:val="24"/>
              </w:rPr>
            </w:pPr>
            <w:r>
              <w:rPr>
                <w:rFonts w:ascii="宋体" w:eastAsia="方正仿宋简体" w:hAnsi="宋体" w:cs="方正楷体简体" w:hint="eastAsia"/>
                <w:sz w:val="24"/>
              </w:rPr>
              <w:t>粮食综合生产能力（万吨）</w:t>
            </w:r>
          </w:p>
        </w:tc>
        <w:tc>
          <w:tcPr>
            <w:tcW w:w="476" w:type="pct"/>
            <w:shd w:val="clear" w:color="auto" w:fill="auto"/>
            <w:tcMar>
              <w:left w:w="28" w:type="dxa"/>
              <w:right w:w="28" w:type="dxa"/>
            </w:tcMar>
            <w:vAlign w:val="center"/>
          </w:tcPr>
          <w:p w14:paraId="09F14F25"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2.6</w:t>
            </w:r>
          </w:p>
        </w:tc>
        <w:tc>
          <w:tcPr>
            <w:tcW w:w="477" w:type="pct"/>
            <w:shd w:val="clear" w:color="auto" w:fill="auto"/>
            <w:tcMar>
              <w:left w:w="28" w:type="dxa"/>
              <w:right w:w="28" w:type="dxa"/>
            </w:tcMar>
            <w:vAlign w:val="center"/>
          </w:tcPr>
          <w:p w14:paraId="5D86C79E"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2.62</w:t>
            </w:r>
          </w:p>
        </w:tc>
        <w:tc>
          <w:tcPr>
            <w:tcW w:w="590" w:type="pct"/>
            <w:shd w:val="clear" w:color="auto" w:fill="auto"/>
            <w:tcMar>
              <w:left w:w="28" w:type="dxa"/>
              <w:right w:w="28" w:type="dxa"/>
            </w:tcMar>
            <w:vAlign w:val="center"/>
          </w:tcPr>
          <w:p w14:paraId="2663D16B"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w:t>
            </w:r>
          </w:p>
        </w:tc>
        <w:tc>
          <w:tcPr>
            <w:tcW w:w="448" w:type="pct"/>
            <w:tcMar>
              <w:left w:w="28" w:type="dxa"/>
              <w:right w:w="28" w:type="dxa"/>
            </w:tcMar>
            <w:vAlign w:val="center"/>
          </w:tcPr>
          <w:p w14:paraId="14655D3E" w14:textId="77777777" w:rsidR="00080503" w:rsidRDefault="003A23BA">
            <w:pPr>
              <w:overflowPunct w:val="0"/>
              <w:spacing w:line="240" w:lineRule="exact"/>
              <w:jc w:val="center"/>
              <w:rPr>
                <w:rFonts w:ascii="宋体" w:eastAsia="方正仿宋简体" w:hAnsi="宋体" w:cs="方正楷体简体"/>
                <w:sz w:val="24"/>
              </w:rPr>
            </w:pPr>
            <w:r>
              <w:rPr>
                <w:rFonts w:ascii="宋体" w:eastAsia="方正仿宋简体" w:hAnsi="宋体" w:cs="方正楷体简体" w:hint="eastAsia"/>
                <w:sz w:val="24"/>
              </w:rPr>
              <w:t>约束性</w:t>
            </w:r>
          </w:p>
        </w:tc>
      </w:tr>
    </w:tbl>
    <w:p w14:paraId="4DAF5628" w14:textId="77777777" w:rsidR="00080503" w:rsidRDefault="003A23BA">
      <w:pPr>
        <w:pStyle w:val="a3"/>
        <w:overflowPunct w:val="0"/>
        <w:spacing w:after="0" w:line="2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28AF74DE" w14:textId="77777777" w:rsidR="00080503" w:rsidRDefault="00080503" w:rsidP="009E3491">
      <w:pPr>
        <w:pStyle w:val="a3"/>
        <w:overflowPunct w:val="0"/>
        <w:spacing w:after="0" w:line="616" w:lineRule="exact"/>
        <w:jc w:val="center"/>
        <w:rPr>
          <w:rFonts w:ascii="方正小标宋简体" w:eastAsia="方正小标宋简体" w:hAnsi="宋体" w:cs="方正仿宋简体"/>
          <w:sz w:val="44"/>
          <w:szCs w:val="44"/>
        </w:rPr>
      </w:pPr>
    </w:p>
    <w:p w14:paraId="6675CF61" w14:textId="77777777" w:rsidR="00080503" w:rsidRDefault="003A23BA" w:rsidP="009E3491">
      <w:pPr>
        <w:pStyle w:val="a3"/>
        <w:overflowPunct w:val="0"/>
        <w:spacing w:after="0" w:line="616"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第四章  </w:t>
      </w:r>
      <w:r>
        <w:rPr>
          <w:rFonts w:ascii="方正小标宋简体" w:eastAsia="方正小标宋简体" w:hAnsi="宋体" w:cs="方正小标宋简体" w:hint="eastAsia"/>
          <w:sz w:val="44"/>
          <w:szCs w:val="44"/>
        </w:rPr>
        <w:t>大力发展特色产业集群</w:t>
      </w:r>
    </w:p>
    <w:p w14:paraId="476B725B" w14:textId="77777777" w:rsidR="00080503" w:rsidRDefault="003A23BA" w:rsidP="009E3491">
      <w:pPr>
        <w:pStyle w:val="a3"/>
        <w:overflowPunct w:val="0"/>
        <w:spacing w:after="0" w:line="616"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加快建设现代化产业体系</w:t>
      </w:r>
    </w:p>
    <w:p w14:paraId="10157818" w14:textId="77777777" w:rsidR="00080503" w:rsidRDefault="00080503" w:rsidP="009E3491">
      <w:pPr>
        <w:pStyle w:val="a3"/>
        <w:overflowPunct w:val="0"/>
        <w:spacing w:after="0" w:line="616" w:lineRule="exact"/>
        <w:rPr>
          <w:rFonts w:ascii="宋体" w:eastAsia="方正仿宋简体" w:hAnsi="宋体" w:cs="方正仿宋简体"/>
          <w:sz w:val="32"/>
          <w:szCs w:val="32"/>
        </w:rPr>
      </w:pPr>
    </w:p>
    <w:p w14:paraId="41190BF3" w14:textId="77777777" w:rsidR="00080503" w:rsidRDefault="003A23BA" w:rsidP="009E3491">
      <w:pPr>
        <w:pStyle w:val="a3"/>
        <w:overflowPunct w:val="0"/>
        <w:spacing w:after="0"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把发展经济的着力点放在实体经济上，深入实施产业能级跃升工程，坚持智能化、绿色化、融合化方向，因地制宜发展先进新质生产力，提质升级优势主导产业，推动服务业优质高效发展，加快构建以先进制造业为骨干的现代化产业体系。</w:t>
      </w:r>
    </w:p>
    <w:p w14:paraId="6B5D4E42" w14:textId="77777777" w:rsidR="00080503" w:rsidRDefault="003A23BA" w:rsidP="009E3491">
      <w:pPr>
        <w:pStyle w:val="a3"/>
        <w:overflowPunct w:val="0"/>
        <w:spacing w:before="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深入实施工业强区战略</w:t>
      </w:r>
    </w:p>
    <w:p w14:paraId="131BD35F" w14:textId="77777777" w:rsidR="00080503" w:rsidRDefault="003A23BA" w:rsidP="009E3491">
      <w:pPr>
        <w:overflowPunct w:val="0"/>
        <w:spacing w:line="616" w:lineRule="exact"/>
        <w:ind w:firstLineChars="200" w:firstLine="640"/>
        <w:rPr>
          <w:rFonts w:ascii="宋体" w:eastAsia="仿宋_GB2312" w:hAnsi="宋体" w:cs="仿宋_GB2312"/>
          <w:sz w:val="32"/>
          <w:szCs w:val="32"/>
        </w:rPr>
      </w:pPr>
      <w:r>
        <w:rPr>
          <w:rFonts w:ascii="宋体" w:eastAsia="方正仿宋简体" w:hAnsi="宋体" w:cs="方正仿宋简体" w:hint="eastAsia"/>
          <w:sz w:val="32"/>
          <w:szCs w:val="32"/>
        </w:rPr>
        <w:t>聚力抓主业、调结构，不断夯实产业基础，做强“</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”主导产业，大力推动传统产业转型升级，积极培育壮大新兴产业，加快布局发展未来产业。</w:t>
      </w:r>
    </w:p>
    <w:p w14:paraId="49D9B1C1" w14:textId="77777777" w:rsidR="00080503" w:rsidRDefault="003A23BA" w:rsidP="009E3491">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做强做优三大主导产业。</w:t>
      </w:r>
      <w:r>
        <w:rPr>
          <w:rFonts w:ascii="宋体" w:eastAsia="方正仿宋简体" w:hAnsi="宋体" w:cs="方正仿宋简体" w:hint="eastAsia"/>
          <w:sz w:val="32"/>
          <w:szCs w:val="32"/>
        </w:rPr>
        <w:t>钢铁。聚焦高端化、智能化、绿色化方向，加快推进钢铁产业提质升级。持续优化产品结构，重点培育型钢、特钢两大战略产品，厚板聚焦高端市场并强化与日照基地协同，螺纹钢坚持高效低成本路线，加快从规模导向向价值导向转型，构建产业布局合理、产品结构优化的现代钢铁产业体系，加快打造全国重要的精品钢及深加工产业基地，力争“十五五”期间高端产品占比</w:t>
      </w:r>
      <w:r>
        <w:rPr>
          <w:rFonts w:ascii="宋体" w:eastAsia="方正仿宋简体" w:hAnsi="宋体" w:cs="方正仿宋简体" w:hint="eastAsia"/>
          <w:sz w:val="32"/>
          <w:szCs w:val="32"/>
        </w:rPr>
        <w:t>70%</w:t>
      </w:r>
      <w:r>
        <w:rPr>
          <w:rFonts w:ascii="宋体" w:eastAsia="方正仿宋简体" w:hAnsi="宋体" w:cs="方正仿宋简体" w:hint="eastAsia"/>
          <w:sz w:val="32"/>
          <w:szCs w:val="32"/>
        </w:rPr>
        <w:t>以上。持续加快智能化改造，鼓励支持山钢股份把握融入宝武集团契机，持续在炼钢、炼铁等关键工</w:t>
      </w:r>
      <w:r>
        <w:rPr>
          <w:rFonts w:ascii="宋体" w:eastAsia="方正仿宋简体" w:hAnsi="宋体" w:cs="方正仿宋简体" w:hint="eastAsia"/>
          <w:sz w:val="32"/>
          <w:szCs w:val="32"/>
        </w:rPr>
        <w:lastRenderedPageBreak/>
        <w:t>序上，策划实施信息化系统提升改造等项目，建设数据集成和信息共享的集中控制中心，力争到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建成智能高效、行业领先的智慧钢铁示范企业。持续实施能效提升工程，加快先进环保技术应用、智慧能源系统、碳管理系统升级改造，进一步提升绿色化水平，“十五五”期间碳排放达到行业中游水平。充分发挥省级精品钢精深加工特色产业集群优势，依托山钢高端智造产业园等载体吸引钢铁行业上下游企业集聚发展，全面提升全区钢铁精深加工能力与水平。</w:t>
      </w:r>
    </w:p>
    <w:p w14:paraId="429BDD27" w14:textId="77777777" w:rsidR="00080503" w:rsidRDefault="003A23BA" w:rsidP="009E3491">
      <w:pPr>
        <w:overflowPunct w:val="0"/>
        <w:spacing w:line="616" w:lineRule="exact"/>
        <w:ind w:firstLineChars="200" w:firstLine="640"/>
        <w:rPr>
          <w:rFonts w:ascii="宋体" w:eastAsia="仿宋_GB2312" w:hAnsi="宋体" w:cs="仿宋_GB2312"/>
          <w:strike/>
          <w:sz w:val="32"/>
          <w:szCs w:val="32"/>
        </w:rPr>
      </w:pPr>
      <w:r>
        <w:rPr>
          <w:rFonts w:ascii="宋体" w:eastAsia="方正仿宋简体" w:hAnsi="宋体" w:cs="方正仿宋简体" w:hint="eastAsia"/>
          <w:sz w:val="32"/>
          <w:szCs w:val="32"/>
        </w:rPr>
        <w:t>先进材料。围绕高性能、轻量化、功能化方向，打造以粉末冶金为稳固基石、以碳纤维等高端复合材料为战略前沿突破的先进材料产业集群新格局。粉末冶金方面，依托产业规模与链主企业优势，做大铁基材料规模，拓展铜基材料链条，培育镁基材料增长点，</w:t>
      </w:r>
      <w:bookmarkStart w:id="39" w:name="OLE_LINK8"/>
      <w:bookmarkStart w:id="40" w:name="OLE_LINK7"/>
      <w:r>
        <w:rPr>
          <w:rFonts w:ascii="宋体" w:eastAsia="方正仿宋简体" w:hAnsi="宋体" w:cs="方正仿宋简体" w:hint="eastAsia"/>
          <w:sz w:val="32"/>
          <w:szCs w:val="32"/>
        </w:rPr>
        <w:t>前瞻布局钛基材料等尖端领域</w:t>
      </w:r>
      <w:bookmarkEnd w:id="39"/>
      <w:bookmarkEnd w:id="40"/>
      <w:r>
        <w:rPr>
          <w:rFonts w:ascii="宋体" w:eastAsia="方正仿宋简体" w:hAnsi="宋体" w:cs="方正仿宋简体" w:hint="eastAsia"/>
          <w:sz w:val="32"/>
          <w:szCs w:val="32"/>
        </w:rPr>
        <w:t>。制粉环节重点发展增材制造用粉、激光熔覆粉等金属材料，打造多元化的金属粉体材料体系。支持企业研发、生产高端粉末冶金零部件、注射成形产品等，拓展材料在新能源汽车、航空航天等高端领域的应用。加快中南大学（山东）新材料研究院落地运行，推进鲁银新材料增材制造等重点项目建设，谋划建设金属粉体先进材料产业基地，构建从材料到制品到应用的全产业链生态，推动粉末冶金产业由制粉为主向制粉、制件并重转变，由传统领域向新兴高端市场跨越。高端复合材料方面，谋划建设绿色智造产业园，重点开发新能源</w:t>
      </w:r>
      <w:r>
        <w:rPr>
          <w:rFonts w:ascii="宋体" w:eastAsia="方正仿宋简体" w:hAnsi="宋体" w:cs="方正仿宋简体" w:hint="eastAsia"/>
          <w:sz w:val="32"/>
          <w:szCs w:val="32"/>
        </w:rPr>
        <w:lastRenderedPageBreak/>
        <w:t>汽车、高端装备轻量化部件，研发高性能纤维材料，打造绿色智造与产业协同标杆。</w:t>
      </w:r>
    </w:p>
    <w:p w14:paraId="0A7779D7" w14:textId="77777777" w:rsidR="00080503" w:rsidRDefault="003A23BA" w:rsidP="009E3491">
      <w:pPr>
        <w:overflowPunct w:val="0"/>
        <w:spacing w:line="616" w:lineRule="exact"/>
        <w:ind w:firstLineChars="200" w:firstLine="640"/>
        <w:rPr>
          <w:rFonts w:ascii="宋体" w:eastAsia="楷体_GB2312" w:hAnsi="宋体" w:cs="楷体_GB2312"/>
          <w:sz w:val="32"/>
          <w:szCs w:val="32"/>
        </w:rPr>
      </w:pPr>
      <w:r>
        <w:rPr>
          <w:rFonts w:ascii="宋体" w:eastAsia="方正仿宋简体" w:hAnsi="宋体" w:cs="方正仿宋简体" w:hint="eastAsia"/>
          <w:sz w:val="32"/>
          <w:szCs w:val="32"/>
        </w:rPr>
        <w:t>新能源装备。围绕风电、光伏、储能等重点领域，着力培育规模效应突出、创新能力领先的产业集群。风电领域，支持龙头企业聚焦产能与技术突破，研发制造关键材料与核心部件，巩固风电行业领先地位，做大主要产品市场，做强高端产品市场。充分发挥链主企业在技术引领、资源整合和市场拓展中的核心带动作用，积极引进和培育一批专注于轴承、齿轮、传动部件等风电产业链关键环节的上下游配套企业，构建紧密协作、优势互补的产业生态。光伏、储能等领域，强化光伏组件、储能系统的集成制造能力，推动新能源装备在工业园区、公共建筑、交通物流等领域规模化应用，实现多领域、深层次协同发展。</w:t>
      </w:r>
    </w:p>
    <w:p w14:paraId="2D5BF4A6" w14:textId="77777777" w:rsidR="00080503" w:rsidRDefault="003A23BA" w:rsidP="009E3491">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做大做精两大特色产业。</w:t>
      </w:r>
      <w:r>
        <w:rPr>
          <w:rFonts w:ascii="宋体" w:eastAsia="方正仿宋简体" w:hAnsi="宋体" w:cs="方正仿宋简体" w:hint="eastAsia"/>
          <w:sz w:val="32"/>
          <w:szCs w:val="32"/>
        </w:rPr>
        <w:t>精密铸锻与装备制造。聚焦补链强链、创新驱动，发挥国家级中小企业特色产业集群的基础优势，推动产业链整体扩容提质。精密铸锻方面，推动企业加快高层次技术改造与设备更新，实施重型机械锻件、精密汽车零部件等重点项目，推进生产流程智能化再造，提升自动化与智能化制造水平，开发特种耐高温合金、高端传动轴等材料。布局高端模具钢产业，加强模具设计、热处理等核心技术研发，推动高端工模具钢实现产业化、规模化，打造涵盖材料、设计、制造、应用的全链条产业体系。装备制造方面，围绕智能装备、新能源装备、激</w:t>
      </w:r>
      <w:r>
        <w:rPr>
          <w:rFonts w:ascii="宋体" w:eastAsia="方正仿宋简体" w:hAnsi="宋体" w:cs="方正仿宋简体" w:hint="eastAsia"/>
          <w:sz w:val="32"/>
          <w:szCs w:val="32"/>
        </w:rPr>
        <w:lastRenderedPageBreak/>
        <w:t>光装备、高端工程机械等重点方向，实施轻量化、绿色化技术改造，巩固风电主轴、叉车等传统优势产品竞争力。同时，积极开发适应新能源汽车、航空航天、具身智能等未来高端领域需求的高端零部件与整机产品，推动产业链从“中端”零件向“两端”的整机总成和关键材料延伸。</w:t>
      </w:r>
    </w:p>
    <w:p w14:paraId="757EFD1A" w14:textId="77777777" w:rsidR="00080503" w:rsidRDefault="003A23BA" w:rsidP="009E3491">
      <w:pPr>
        <w:overflowPunct w:val="0"/>
        <w:spacing w:line="616" w:lineRule="exact"/>
        <w:ind w:firstLineChars="200" w:firstLine="640"/>
        <w:rPr>
          <w:rFonts w:ascii="宋体" w:eastAsia="仿宋_GB2312" w:hAnsi="宋体" w:cs="仿宋_GB2312"/>
          <w:sz w:val="32"/>
          <w:szCs w:val="32"/>
          <w:shd w:val="clear" w:color="auto" w:fill="FFFFFF"/>
        </w:rPr>
      </w:pPr>
      <w:r>
        <w:rPr>
          <w:rFonts w:ascii="宋体" w:eastAsia="方正仿宋简体" w:hAnsi="宋体" w:cs="方正仿宋简体" w:hint="eastAsia"/>
          <w:sz w:val="32"/>
          <w:szCs w:val="32"/>
        </w:rPr>
        <w:t>绿色建造与装配式建筑。全域推广绿色建筑，建设功能完善、绿色宜居、健康安全的高品质建筑，不断改善城乡居住环境，提升居民居住体验。以城镇绿色建筑发展为重点，逐步向乡村绿色建筑延伸，推进城乡绿色建筑全面发展，大力推广建筑光伏等新能源应用，建成一批“光储直柔”及建筑光伏一体化技术应用项目。全面推广高星级绿色建筑、高星级健康建筑、被动式超低能耗和近零能耗建筑。加快山东济南钢城经济开发区装配式建筑产业园基础设施配套建设，推进传统交通、建材装配式建筑向超低能耗、环保净装等先进建筑材料、绿色建造方向提档升级，打造省内领先、辐射周边的新兴建筑材料产业基地。</w:t>
      </w:r>
    </w:p>
    <w:p w14:paraId="7A5FF144" w14:textId="77777777" w:rsidR="00080503" w:rsidRDefault="003A23BA" w:rsidP="009E3491">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加快布局新兴产业、未来产业。</w:t>
      </w:r>
      <w:r>
        <w:rPr>
          <w:rFonts w:ascii="宋体" w:eastAsia="方正仿宋简体" w:hAnsi="宋体" w:cs="方正仿宋简体" w:hint="eastAsia"/>
          <w:sz w:val="32"/>
          <w:szCs w:val="32"/>
        </w:rPr>
        <w:t>循环经济。以龙头企业作为支点与总牵引，以“延链、补链、强链”为核心导向，精准招引与培育产业链关键环节与高附加值项目，加快推进乾瑞循环经济产业园等重点项目建设，推动产业总体规模扩张。以钢渣资源综合利用为重点，以我区山东省工业资源综合利用试点基地（废钢铁、冶炼渣方向）为中心，加快建设临沂、聊城、苏州等多地再</w:t>
      </w:r>
      <w:r>
        <w:rPr>
          <w:rFonts w:ascii="宋体" w:eastAsia="方正仿宋简体" w:hAnsi="宋体" w:cs="方正仿宋简体" w:hint="eastAsia"/>
          <w:sz w:val="32"/>
          <w:szCs w:val="32"/>
        </w:rPr>
        <w:lastRenderedPageBreak/>
        <w:t>生资源回收利用基地，构建“园区＋平台＋网点”三级再生资源回收网络，打造以龙头带动的循环经济强产业。强化产业链与创新链深度融合，着力构建政产学研协同的技术创新体系，支持关键工艺突破与再生资源高值化利用，构建协同高效、韧性安全的高质量发展循环经济产业体系。深入推进“无废城市”建设，推动工业、农林、社会源等领域的废弃物有效分类回收，提升高价值再生金属、高分子材料的回收率与资源化水平。</w:t>
      </w:r>
    </w:p>
    <w:p w14:paraId="0CA935B3" w14:textId="77777777" w:rsidR="00080503" w:rsidRDefault="003A23BA" w:rsidP="009E3491">
      <w:pPr>
        <w:overflowPunct w:val="0"/>
        <w:spacing w:line="616" w:lineRule="exact"/>
        <w:ind w:firstLine="643"/>
        <w:rPr>
          <w:rFonts w:ascii="宋体" w:eastAsia="仿宋_GB2312" w:hAnsi="宋体" w:cs="仿宋_GB2312"/>
          <w:sz w:val="32"/>
          <w:szCs w:val="32"/>
          <w:shd w:val="clear" w:color="auto" w:fill="FFFFFF"/>
        </w:rPr>
      </w:pPr>
      <w:r>
        <w:rPr>
          <w:rFonts w:ascii="宋体" w:eastAsia="方正仿宋简体" w:hAnsi="宋体" w:cs="方正仿宋简体" w:hint="eastAsia"/>
          <w:sz w:val="32"/>
          <w:szCs w:val="32"/>
        </w:rPr>
        <w:t>智能</w:t>
      </w:r>
      <w:r>
        <w:rPr>
          <w:rFonts w:ascii="宋体" w:eastAsia="方正仿宋简体" w:hAnsi="宋体" w:cs="方正仿宋简体"/>
          <w:sz w:val="32"/>
          <w:szCs w:val="32"/>
        </w:rPr>
        <w:t>激光装备制造</w:t>
      </w:r>
      <w:r>
        <w:rPr>
          <w:rFonts w:ascii="宋体" w:eastAsia="方正仿宋简体" w:hAnsi="宋体" w:cs="方正仿宋简体" w:hint="eastAsia"/>
          <w:sz w:val="32"/>
          <w:szCs w:val="32"/>
        </w:rPr>
        <w:t>。</w:t>
      </w:r>
      <w:r>
        <w:rPr>
          <w:rFonts w:ascii="宋体" w:eastAsia="方正仿宋简体" w:hAnsi="宋体" w:cs="方正仿宋简体"/>
          <w:sz w:val="32"/>
          <w:szCs w:val="32"/>
        </w:rPr>
        <w:t>坚持走差异化、特色化发展路径，依托贝塞尔激光</w:t>
      </w:r>
      <w:r>
        <w:rPr>
          <w:rFonts w:ascii="宋体" w:eastAsia="方正仿宋简体" w:hAnsi="宋体" w:cs="方正仿宋简体" w:hint="eastAsia"/>
          <w:sz w:val="32"/>
          <w:szCs w:val="32"/>
        </w:rPr>
        <w:t>装备</w:t>
      </w:r>
      <w:r>
        <w:rPr>
          <w:rFonts w:ascii="宋体" w:eastAsia="方正仿宋简体" w:hAnsi="宋体" w:cs="方正仿宋简体"/>
          <w:sz w:val="32"/>
          <w:szCs w:val="32"/>
        </w:rPr>
        <w:t>产业园，完善基础设施配套，大力引进和承接头部企业落地，形成与市内其他区域错位发展与优势互补发展格局。坚持深耕于细，聚焦激光细分领域，将场景需求转化为产品竞争力。坚持深攻于专，深化技术应用与产业链协同</w:t>
      </w:r>
      <w:r>
        <w:rPr>
          <w:rFonts w:ascii="宋体" w:eastAsia="方正仿宋简体" w:hAnsi="宋体" w:cs="方正仿宋简体" w:hint="eastAsia"/>
          <w:sz w:val="32"/>
          <w:szCs w:val="32"/>
        </w:rPr>
        <w:t>，</w:t>
      </w:r>
      <w:r>
        <w:rPr>
          <w:rFonts w:ascii="宋体" w:eastAsia="方正仿宋简体" w:hAnsi="宋体" w:cs="方正仿宋简体"/>
          <w:sz w:val="32"/>
          <w:szCs w:val="32"/>
        </w:rPr>
        <w:t>构建以激光技术为内核</w:t>
      </w:r>
      <w:r>
        <w:rPr>
          <w:rFonts w:ascii="宋体" w:eastAsia="方正仿宋简体" w:hAnsi="宋体" w:cs="方正仿宋简体" w:hint="eastAsia"/>
          <w:sz w:val="32"/>
          <w:szCs w:val="32"/>
        </w:rPr>
        <w:t>，</w:t>
      </w:r>
      <w:r>
        <w:rPr>
          <w:rFonts w:ascii="宋体" w:eastAsia="方正仿宋简体" w:hAnsi="宋体" w:cs="方正仿宋简体"/>
          <w:sz w:val="32"/>
          <w:szCs w:val="32"/>
        </w:rPr>
        <w:t>要素齐全、持续创新的产业生态共同体，吸引激光器制造、激光床身加工等配套企业集聚，打造</w:t>
      </w:r>
      <w:r>
        <w:rPr>
          <w:rFonts w:ascii="宋体" w:eastAsia="方正仿宋简体" w:hAnsi="宋体" w:cs="方正仿宋简体"/>
          <w:sz w:val="32"/>
          <w:szCs w:val="32"/>
        </w:rPr>
        <w:t>“</w:t>
      </w:r>
      <w:r>
        <w:rPr>
          <w:rFonts w:ascii="宋体" w:eastAsia="方正仿宋简体" w:hAnsi="宋体" w:cs="方正仿宋简体"/>
          <w:sz w:val="32"/>
          <w:szCs w:val="32"/>
        </w:rPr>
        <w:t>小而精</w:t>
      </w:r>
      <w:r>
        <w:rPr>
          <w:rFonts w:ascii="宋体" w:eastAsia="方正仿宋简体" w:hAnsi="宋体" w:cs="方正仿宋简体"/>
          <w:sz w:val="32"/>
          <w:szCs w:val="32"/>
        </w:rPr>
        <w:t>”</w:t>
      </w:r>
      <w:r>
        <w:rPr>
          <w:rFonts w:ascii="宋体" w:eastAsia="方正仿宋简体" w:hAnsi="宋体" w:cs="方正仿宋简体"/>
          <w:sz w:val="32"/>
          <w:szCs w:val="32"/>
        </w:rPr>
        <w:t>的特色产业集群，实现细分领域的产业链闭环。</w:t>
      </w:r>
    </w:p>
    <w:p w14:paraId="3FC6765A" w14:textId="77777777" w:rsidR="00080503" w:rsidRDefault="003A23BA" w:rsidP="009E3491">
      <w:pPr>
        <w:overflowPunct w:val="0"/>
        <w:spacing w:line="616" w:lineRule="exact"/>
        <w:ind w:firstLineChars="200" w:firstLine="640"/>
        <w:rPr>
          <w:rFonts w:ascii="宋体" w:eastAsia="仿宋_GB2312" w:hAnsi="宋体" w:cs="仿宋_GB2312"/>
          <w:sz w:val="32"/>
          <w:szCs w:val="32"/>
          <w:shd w:val="clear" w:color="auto" w:fill="FFFFFF"/>
        </w:rPr>
      </w:pPr>
      <w:r>
        <w:rPr>
          <w:rFonts w:ascii="宋体" w:eastAsia="方正仿宋简体" w:hAnsi="宋体" w:cs="方正仿宋简体"/>
          <w:sz w:val="32"/>
          <w:szCs w:val="32"/>
        </w:rPr>
        <w:t>工业机器人</w:t>
      </w:r>
      <w:r>
        <w:rPr>
          <w:rFonts w:ascii="宋体" w:eastAsia="方正仿宋简体" w:hAnsi="宋体" w:cs="方正仿宋简体" w:hint="eastAsia"/>
          <w:sz w:val="32"/>
          <w:szCs w:val="32"/>
        </w:rPr>
        <w:t>。加快整机研发制造，发挥莱钢电子在机器人手臂研发设计方面的生产优势，以冶金等本地制造业智能化升级应用场景为牵引，培育发展重载工业机器人、特种作业机器人产业。强化研发设计，鼓励企业与山东大学、哈尔滨工业大学（威海）等高校及科研院所共建研发平台，研发适用冶金行业焊接、搬运、打磨、巡检等环节的重型板材、卷材搬运物流机器人、重型装备</w:t>
      </w:r>
      <w:r>
        <w:rPr>
          <w:rFonts w:ascii="宋体" w:eastAsia="方正仿宋简体" w:hAnsi="宋体" w:cs="方正仿宋简体" w:hint="eastAsia"/>
          <w:sz w:val="32"/>
          <w:szCs w:val="32"/>
        </w:rPr>
        <w:lastRenderedPageBreak/>
        <w:t>焊接与喷涂机器人，以及高温、高危等特殊环境下的特种作业机器人。加快产业园打造，依托山东泓擎规划建设机器人核心部件产业园，积极引进关联企业，重点突破机器人传感器、智能控制器等关键零部件的研发与产业化。</w:t>
      </w:r>
    </w:p>
    <w:p w14:paraId="08E4923A" w14:textId="77777777" w:rsidR="00080503" w:rsidRDefault="003A23BA" w:rsidP="009E3491">
      <w:pPr>
        <w:overflowPunct w:val="0"/>
        <w:spacing w:line="616" w:lineRule="exact"/>
        <w:ind w:firstLineChars="200" w:firstLine="640"/>
        <w:rPr>
          <w:rFonts w:ascii="宋体" w:eastAsia="仿宋_GB2312" w:hAnsi="宋体" w:cs="仿宋_GB2312"/>
          <w:sz w:val="32"/>
          <w:szCs w:val="32"/>
          <w:shd w:val="clear" w:color="auto" w:fill="FFFFFF"/>
        </w:rPr>
      </w:pPr>
      <w:r>
        <w:rPr>
          <w:rFonts w:ascii="宋体" w:eastAsia="方正仿宋简体" w:hAnsi="宋体" w:cs="方正仿宋简体"/>
          <w:sz w:val="32"/>
          <w:szCs w:val="32"/>
        </w:rPr>
        <w:t>人工智能</w:t>
      </w:r>
      <w:r>
        <w:rPr>
          <w:rFonts w:ascii="宋体" w:eastAsia="方正仿宋简体" w:hAnsi="宋体" w:cs="方正仿宋简体" w:hint="eastAsia"/>
          <w:sz w:val="32"/>
          <w:szCs w:val="32"/>
        </w:rPr>
        <w:t>。谋划建设智算中心，打造集智能算力、通用算法、开发平台于一体的新型智能基础设施，提供算力租赁、算法研发、模型训练、成果转化等服务，吸引</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企业总部、研发中心和创新团队入驻，降低中小企业</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应用门槛。支持传统企业变道发展，加大与头部企业合作，开展智能装备定制化研发，服务本地制造业转型升级需求。加快“</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＋”应用场景打造，实现</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赋能产业发展。“</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＋农业”，开发精准种植、智能养殖、农产品溯源等解决方案，提升农业生产效率和质量。“</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＋制造”，提供工业视觉检测、智能排产、设备预测性维护等服务，推动传统工厂智能化改造。“</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＋文旅”，开发智能导览、虚拟体验、客流分析等应用，打造沉浸式文旅新场景。“</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＋应急”，构建智能监测、快速响应、精准救援等系统，提升应急管理能力。</w:t>
      </w:r>
    </w:p>
    <w:p w14:paraId="67F24797" w14:textId="5B4A8818" w:rsidR="00080503" w:rsidRDefault="003A23BA" w:rsidP="009E3491">
      <w:pPr>
        <w:pStyle w:val="a3"/>
        <w:overflowPunct w:val="0"/>
        <w:spacing w:line="616" w:lineRule="exact"/>
        <w:ind w:firstLineChars="200" w:firstLine="640"/>
        <w:rPr>
          <w:rFonts w:ascii="宋体" w:eastAsia="方正仿宋简体" w:hAnsi="宋体" w:cs="方正仿宋简体" w:hint="eastAsia"/>
          <w:sz w:val="32"/>
          <w:szCs w:val="32"/>
        </w:rPr>
      </w:pPr>
      <w:r>
        <w:rPr>
          <w:rFonts w:ascii="宋体" w:eastAsia="方正仿宋简体" w:hAnsi="宋体" w:cs="方正仿宋简体" w:hint="eastAsia"/>
          <w:sz w:val="32"/>
          <w:szCs w:val="32"/>
        </w:rPr>
        <w:t>未来产业。坚持前瞻布局与重点突破有机结合，以基因编辑中心为核心载体，深化与中国农业大学、省农科院等高校院所产学研合作，探索开展生物医药等领域关键技术攻关、创新产品孵化及成果转化推广，抢占产业发展先机。研究谋划氢能技术应用，依托山钢工业副产氢资源禀赋，探索钢铁产业与氢能产业耦合发</w:t>
      </w:r>
      <w:r>
        <w:rPr>
          <w:rFonts w:ascii="宋体" w:eastAsia="方正仿宋简体" w:hAnsi="宋体" w:cs="方正仿宋简体" w:hint="eastAsia"/>
          <w:sz w:val="32"/>
          <w:szCs w:val="32"/>
        </w:rPr>
        <w:lastRenderedPageBreak/>
        <w:t>展路径，围绕氢能产品储运，谋划清洁氢能储运装备产业发展。</w:t>
      </w:r>
    </w:p>
    <w:tbl>
      <w:tblPr>
        <w:tblStyle w:val="a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28"/>
      </w:tblGrid>
      <w:tr w:rsidR="00080503" w14:paraId="6AD09876" w14:textId="77777777">
        <w:trPr>
          <w:trHeight w:val="680"/>
        </w:trPr>
        <w:tc>
          <w:tcPr>
            <w:tcW w:w="5000" w:type="pct"/>
            <w:vAlign w:val="center"/>
          </w:tcPr>
          <w:p w14:paraId="2CE2FCA9" w14:textId="77777777" w:rsidR="00080503" w:rsidRDefault="003A23BA">
            <w:pPr>
              <w:overflowPunct w:val="0"/>
              <w:adjustRightInd w:val="0"/>
              <w:snapToGrid w:val="0"/>
              <w:spacing w:line="340" w:lineRule="exact"/>
              <w:jc w:val="center"/>
              <w:outlineLvl w:val="1"/>
              <w:rPr>
                <w:rFonts w:ascii="宋体" w:eastAsia="方正楷体简体" w:hAnsi="宋体" w:cs="方正楷体简体"/>
                <w:kern w:val="44"/>
                <w:sz w:val="28"/>
                <w:szCs w:val="28"/>
                <w:lang w:bidi="ar"/>
              </w:rPr>
            </w:pPr>
            <w:bookmarkStart w:id="41" w:name="_Toc6408"/>
            <w:bookmarkStart w:id="42" w:name="_Toc11807"/>
            <w:bookmarkStart w:id="43" w:name="_Toc32686"/>
            <w:bookmarkStart w:id="44" w:name="_Toc17016"/>
            <w:bookmarkStart w:id="45" w:name="_Toc15875"/>
            <w:bookmarkStart w:id="46" w:name="_Toc3993"/>
            <w:r>
              <w:rPr>
                <w:rFonts w:ascii="宋体" w:eastAsia="黑体" w:hAnsi="宋体" w:cs="黑体" w:hint="eastAsia"/>
                <w:kern w:val="44"/>
                <w:sz w:val="28"/>
                <w:szCs w:val="28"/>
                <w:lang w:bidi="ar"/>
              </w:rPr>
              <w:t>专栏</w:t>
            </w:r>
            <w:r>
              <w:rPr>
                <w:rFonts w:ascii="宋体" w:eastAsia="黑体" w:hAnsi="宋体" w:cs="黑体" w:hint="eastAsia"/>
                <w:kern w:val="44"/>
                <w:sz w:val="28"/>
                <w:szCs w:val="28"/>
                <w:lang w:bidi="ar"/>
              </w:rPr>
              <w:t xml:space="preserve">2  </w:t>
            </w:r>
            <w:r>
              <w:rPr>
                <w:rFonts w:ascii="宋体" w:eastAsia="黑体" w:hAnsi="宋体" w:cs="黑体" w:hint="eastAsia"/>
                <w:kern w:val="44"/>
                <w:sz w:val="28"/>
                <w:szCs w:val="28"/>
                <w:lang w:bidi="ar"/>
              </w:rPr>
              <w:t>产业发展领域重点项目</w:t>
            </w:r>
            <w:bookmarkEnd w:id="41"/>
            <w:bookmarkEnd w:id="42"/>
            <w:bookmarkEnd w:id="43"/>
            <w:bookmarkEnd w:id="44"/>
            <w:bookmarkEnd w:id="45"/>
            <w:bookmarkEnd w:id="46"/>
          </w:p>
        </w:tc>
      </w:tr>
      <w:tr w:rsidR="00080503" w14:paraId="297EBACF" w14:textId="77777777" w:rsidTr="009E3491">
        <w:trPr>
          <w:trHeight w:val="4789"/>
        </w:trPr>
        <w:tc>
          <w:tcPr>
            <w:tcW w:w="5000" w:type="pct"/>
            <w:vAlign w:val="center"/>
          </w:tcPr>
          <w:p w14:paraId="02AE6A6B"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47" w:name="_Toc26049"/>
            <w:bookmarkStart w:id="48" w:name="_Toc10830"/>
            <w:bookmarkStart w:id="49" w:name="_Toc27347"/>
            <w:bookmarkStart w:id="50" w:name="_Toc4591"/>
            <w:bookmarkStart w:id="51" w:name="_Toc15197"/>
            <w:bookmarkStart w:id="52" w:name="_Toc19155"/>
            <w:r>
              <w:rPr>
                <w:rFonts w:ascii="宋体" w:eastAsia="方正楷体简体" w:hAnsi="宋体" w:cs="方正楷体简体" w:hint="eastAsia"/>
                <w:kern w:val="44"/>
                <w:sz w:val="28"/>
                <w:szCs w:val="28"/>
                <w:lang w:bidi="ar"/>
              </w:rPr>
              <w:t>精品钢及深加工：</w:t>
            </w:r>
            <w:r w:rsidRPr="009E3491">
              <w:rPr>
                <w:rFonts w:ascii="宋体" w:eastAsia="方正仿宋简体" w:hAnsi="宋体" w:cs="方正仿宋简体" w:hint="eastAsia"/>
                <w:kern w:val="44"/>
                <w:sz w:val="28"/>
                <w:szCs w:val="28"/>
                <w:lang w:bidi="ar"/>
              </w:rPr>
              <w:t>山钢高端智造产业园项目，山钢股份棒材厂中区轧线、中小轧生产线升级改造项目，山钢股份型钢厂中、小型线升级改造项目</w:t>
            </w:r>
            <w:bookmarkEnd w:id="47"/>
            <w:bookmarkEnd w:id="48"/>
            <w:bookmarkEnd w:id="49"/>
            <w:bookmarkEnd w:id="50"/>
            <w:bookmarkEnd w:id="51"/>
            <w:bookmarkEnd w:id="52"/>
            <w:r w:rsidRPr="009E3491">
              <w:rPr>
                <w:rFonts w:ascii="宋体" w:eastAsia="方正仿宋简体" w:hAnsi="宋体" w:cs="方正仿宋简体" w:hint="eastAsia"/>
                <w:kern w:val="44"/>
                <w:sz w:val="28"/>
                <w:szCs w:val="28"/>
                <w:lang w:bidi="ar"/>
              </w:rPr>
              <w:t>。</w:t>
            </w:r>
          </w:p>
          <w:p w14:paraId="04B0E6A8"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53" w:name="_Toc1675"/>
            <w:bookmarkStart w:id="54" w:name="_Toc30543"/>
            <w:bookmarkStart w:id="55" w:name="_Toc32052"/>
            <w:bookmarkStart w:id="56" w:name="_Toc29073"/>
            <w:bookmarkStart w:id="57" w:name="_Toc12848"/>
            <w:bookmarkStart w:id="58" w:name="_Toc31756"/>
            <w:r w:rsidRPr="009E3491">
              <w:rPr>
                <w:rFonts w:ascii="宋体" w:eastAsia="方正仿宋简体" w:hAnsi="宋体" w:cs="方正仿宋简体" w:hint="eastAsia"/>
                <w:kern w:val="44"/>
                <w:sz w:val="28"/>
                <w:szCs w:val="28"/>
                <w:lang w:bidi="ar"/>
              </w:rPr>
              <w:t>先进材料：</w:t>
            </w:r>
            <w:r>
              <w:rPr>
                <w:rFonts w:ascii="宋体" w:eastAsia="方正仿宋简体" w:hAnsi="宋体" w:cs="方正仿宋简体" w:hint="eastAsia"/>
                <w:kern w:val="44"/>
                <w:sz w:val="28"/>
                <w:szCs w:val="28"/>
                <w:lang w:bidi="ar"/>
              </w:rPr>
              <w:t>鲁银高端粉体新材料项目</w:t>
            </w:r>
            <w:bookmarkEnd w:id="53"/>
            <w:bookmarkEnd w:id="54"/>
            <w:bookmarkEnd w:id="55"/>
            <w:bookmarkEnd w:id="56"/>
            <w:bookmarkEnd w:id="57"/>
            <w:bookmarkEnd w:id="58"/>
            <w:r>
              <w:rPr>
                <w:rFonts w:ascii="宋体" w:eastAsia="方正仿宋简体" w:hAnsi="宋体" w:cs="方正仿宋简体" w:hint="eastAsia"/>
                <w:kern w:val="44"/>
                <w:sz w:val="28"/>
                <w:szCs w:val="28"/>
                <w:lang w:bidi="ar"/>
              </w:rPr>
              <w:t>。</w:t>
            </w:r>
          </w:p>
          <w:p w14:paraId="7CD1B80A"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59" w:name="_Toc6010"/>
            <w:bookmarkStart w:id="60" w:name="_Toc30070"/>
            <w:bookmarkStart w:id="61" w:name="_Toc10717"/>
            <w:bookmarkStart w:id="62" w:name="_Toc17910"/>
            <w:bookmarkStart w:id="63" w:name="_Toc8645"/>
            <w:bookmarkStart w:id="64" w:name="_Toc27082"/>
            <w:r>
              <w:rPr>
                <w:rFonts w:ascii="宋体" w:eastAsia="方正楷体简体" w:hAnsi="宋体" w:cs="方正楷体简体" w:hint="eastAsia"/>
                <w:kern w:val="44"/>
                <w:sz w:val="28"/>
                <w:szCs w:val="28"/>
                <w:lang w:bidi="ar"/>
              </w:rPr>
              <w:t>新能源装备：</w:t>
            </w:r>
            <w:r>
              <w:rPr>
                <w:rFonts w:ascii="宋体" w:eastAsia="方正仿宋简体" w:hAnsi="宋体" w:cs="方正仿宋简体" w:hint="eastAsia"/>
                <w:kern w:val="44"/>
                <w:sz w:val="28"/>
                <w:szCs w:val="28"/>
                <w:lang w:bidi="ar"/>
              </w:rPr>
              <w:t>金雷高端传动装备科创产业园项目</w:t>
            </w:r>
            <w:bookmarkEnd w:id="59"/>
            <w:bookmarkEnd w:id="60"/>
            <w:bookmarkEnd w:id="61"/>
            <w:bookmarkEnd w:id="62"/>
            <w:bookmarkEnd w:id="63"/>
            <w:bookmarkEnd w:id="64"/>
            <w:r>
              <w:rPr>
                <w:rFonts w:ascii="宋体" w:eastAsia="方正仿宋简体" w:hAnsi="宋体" w:cs="方正仿宋简体" w:hint="eastAsia"/>
                <w:kern w:val="44"/>
                <w:sz w:val="28"/>
                <w:szCs w:val="28"/>
                <w:lang w:bidi="ar"/>
              </w:rPr>
              <w:t>。</w:t>
            </w:r>
          </w:p>
          <w:p w14:paraId="5EFD9C00"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65" w:name="_Toc23480"/>
            <w:bookmarkStart w:id="66" w:name="_Toc7393"/>
            <w:bookmarkStart w:id="67" w:name="_Toc22699"/>
            <w:bookmarkStart w:id="68" w:name="_Toc27878"/>
            <w:bookmarkStart w:id="69" w:name="_Toc3966"/>
            <w:bookmarkStart w:id="70" w:name="_Toc14108"/>
            <w:r>
              <w:rPr>
                <w:rFonts w:ascii="宋体" w:eastAsia="方正楷体简体" w:hAnsi="宋体" w:cs="方正楷体简体" w:hint="eastAsia"/>
                <w:kern w:val="44"/>
                <w:sz w:val="28"/>
                <w:szCs w:val="28"/>
                <w:lang w:bidi="ar"/>
              </w:rPr>
              <w:t>精密铸锻与装备制造：</w:t>
            </w:r>
            <w:r>
              <w:rPr>
                <w:rFonts w:ascii="宋体" w:eastAsia="方正仿宋简体" w:hAnsi="宋体" w:cs="方正仿宋简体" w:hint="eastAsia"/>
                <w:kern w:val="44"/>
                <w:sz w:val="28"/>
                <w:szCs w:val="28"/>
                <w:lang w:bidi="ar"/>
              </w:rPr>
              <w:t>邦巨特殊钢新材料产业园项目、叉车制造产业园项目</w:t>
            </w:r>
            <w:bookmarkEnd w:id="65"/>
            <w:bookmarkEnd w:id="66"/>
            <w:bookmarkEnd w:id="67"/>
            <w:bookmarkEnd w:id="68"/>
            <w:bookmarkEnd w:id="69"/>
            <w:bookmarkEnd w:id="70"/>
            <w:r>
              <w:rPr>
                <w:rFonts w:ascii="宋体" w:eastAsia="方正仿宋简体" w:hAnsi="宋体" w:cs="方正仿宋简体" w:hint="eastAsia"/>
                <w:kern w:val="44"/>
                <w:sz w:val="28"/>
                <w:szCs w:val="28"/>
                <w:lang w:bidi="ar"/>
              </w:rPr>
              <w:t>。</w:t>
            </w:r>
          </w:p>
          <w:p w14:paraId="09B28C94"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71" w:name="_Toc15723"/>
            <w:bookmarkStart w:id="72" w:name="_Toc32376"/>
            <w:bookmarkStart w:id="73" w:name="_Toc28003"/>
            <w:bookmarkStart w:id="74" w:name="_Toc15665"/>
            <w:bookmarkStart w:id="75" w:name="_Toc24263"/>
            <w:bookmarkStart w:id="76" w:name="_Toc13"/>
            <w:r>
              <w:rPr>
                <w:rFonts w:ascii="宋体" w:eastAsia="方正楷体简体" w:hAnsi="宋体" w:cs="方正楷体简体" w:hint="eastAsia"/>
                <w:kern w:val="44"/>
                <w:sz w:val="28"/>
                <w:szCs w:val="28"/>
                <w:lang w:bidi="ar"/>
              </w:rPr>
              <w:t>绿色建造与装配式建筑：</w:t>
            </w:r>
            <w:r>
              <w:rPr>
                <w:rFonts w:ascii="宋体" w:eastAsia="方正仿宋简体" w:hAnsi="宋体" w:cs="方正仿宋简体" w:hint="eastAsia"/>
                <w:kern w:val="44"/>
                <w:sz w:val="28"/>
                <w:szCs w:val="28"/>
                <w:lang w:bidi="ar"/>
              </w:rPr>
              <w:t>贝迪超低能耗产业园项目</w:t>
            </w:r>
            <w:bookmarkEnd w:id="71"/>
            <w:bookmarkEnd w:id="72"/>
            <w:bookmarkEnd w:id="73"/>
            <w:bookmarkEnd w:id="74"/>
            <w:bookmarkEnd w:id="75"/>
            <w:bookmarkEnd w:id="76"/>
            <w:r>
              <w:rPr>
                <w:rFonts w:ascii="宋体" w:eastAsia="方正仿宋简体" w:hAnsi="宋体" w:cs="方正仿宋简体" w:hint="eastAsia"/>
                <w:kern w:val="44"/>
                <w:sz w:val="28"/>
                <w:szCs w:val="28"/>
                <w:lang w:bidi="ar"/>
              </w:rPr>
              <w:t>。</w:t>
            </w:r>
          </w:p>
          <w:p w14:paraId="060DB2C1"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r>
              <w:rPr>
                <w:rFonts w:ascii="宋体" w:eastAsia="方正楷体简体" w:hAnsi="宋体" w:cs="方正楷体简体" w:hint="eastAsia"/>
                <w:kern w:val="44"/>
                <w:sz w:val="28"/>
                <w:szCs w:val="28"/>
                <w:lang w:bidi="ar"/>
              </w:rPr>
              <w:t>循环经济：</w:t>
            </w:r>
            <w:r>
              <w:rPr>
                <w:rFonts w:ascii="宋体" w:eastAsia="方正仿宋简体" w:hAnsi="宋体" w:cs="方正仿宋简体" w:hint="eastAsia"/>
                <w:kern w:val="44"/>
                <w:sz w:val="28"/>
                <w:szCs w:val="28"/>
                <w:lang w:bidi="ar"/>
              </w:rPr>
              <w:t>乾瑞循环经济产业园项目、中彩固废资源化中心项目。</w:t>
            </w:r>
          </w:p>
          <w:p w14:paraId="7C082680" w14:textId="77777777" w:rsidR="00080503" w:rsidRDefault="003A23BA" w:rsidP="009E3491">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r>
              <w:rPr>
                <w:rFonts w:ascii="宋体" w:eastAsia="方正楷体简体" w:hAnsi="宋体" w:cs="方正楷体简体" w:hint="eastAsia"/>
                <w:kern w:val="44"/>
                <w:sz w:val="28"/>
                <w:szCs w:val="28"/>
                <w:lang w:bidi="ar"/>
              </w:rPr>
              <w:t>激光装备制造：</w:t>
            </w:r>
            <w:r>
              <w:rPr>
                <w:rFonts w:ascii="宋体" w:eastAsia="方正仿宋简体" w:hAnsi="宋体" w:cs="方正仿宋简体" w:hint="eastAsia"/>
                <w:kern w:val="44"/>
                <w:sz w:val="28"/>
                <w:szCs w:val="28"/>
                <w:lang w:bidi="ar"/>
              </w:rPr>
              <w:t>齐鲁激光科创园项目。</w:t>
            </w:r>
          </w:p>
          <w:p w14:paraId="17ADF5E4" w14:textId="77777777" w:rsidR="00080503" w:rsidRDefault="003A23BA" w:rsidP="009E3491">
            <w:pPr>
              <w:overflowPunct w:val="0"/>
              <w:adjustRightInd w:val="0"/>
              <w:snapToGrid w:val="0"/>
              <w:spacing w:line="400" w:lineRule="exact"/>
              <w:ind w:firstLineChars="200" w:firstLine="560"/>
              <w:outlineLvl w:val="1"/>
              <w:rPr>
                <w:rFonts w:ascii="宋体" w:eastAsia="方正楷体简体" w:hAnsi="宋体" w:cs="方正楷体简体"/>
                <w:kern w:val="0"/>
                <w:sz w:val="28"/>
                <w:szCs w:val="28"/>
                <w:shd w:val="clear" w:color="auto" w:fill="FFFFFF"/>
              </w:rPr>
            </w:pPr>
            <w:bookmarkStart w:id="77" w:name="_Toc6505"/>
            <w:bookmarkStart w:id="78" w:name="_Toc1220"/>
            <w:bookmarkStart w:id="79" w:name="_Toc31723"/>
            <w:bookmarkStart w:id="80" w:name="_Toc14526"/>
            <w:bookmarkStart w:id="81" w:name="_Toc21144"/>
            <w:bookmarkStart w:id="82" w:name="_Toc5502"/>
            <w:r>
              <w:rPr>
                <w:rFonts w:ascii="宋体" w:eastAsia="方正楷体简体" w:hAnsi="宋体" w:cs="方正楷体简体" w:hint="eastAsia"/>
                <w:kern w:val="44"/>
                <w:sz w:val="28"/>
                <w:szCs w:val="28"/>
                <w:lang w:bidi="ar"/>
              </w:rPr>
              <w:t>其他：</w:t>
            </w:r>
            <w:r>
              <w:rPr>
                <w:rFonts w:ascii="宋体" w:eastAsia="方正仿宋简体" w:hAnsi="宋体" w:cs="方正仿宋简体" w:hint="eastAsia"/>
                <w:kern w:val="44"/>
                <w:sz w:val="28"/>
                <w:szCs w:val="28"/>
                <w:lang w:bidi="ar"/>
              </w:rPr>
              <w:t>山钢股份空气分离项目</w:t>
            </w:r>
            <w:bookmarkEnd w:id="77"/>
            <w:bookmarkEnd w:id="78"/>
            <w:bookmarkEnd w:id="79"/>
            <w:bookmarkEnd w:id="80"/>
            <w:bookmarkEnd w:id="81"/>
            <w:bookmarkEnd w:id="82"/>
            <w:r>
              <w:rPr>
                <w:rFonts w:ascii="宋体" w:eastAsia="方正仿宋简体" w:hAnsi="宋体" w:cs="方正仿宋简体" w:hint="eastAsia"/>
                <w:kern w:val="44"/>
                <w:sz w:val="28"/>
                <w:szCs w:val="28"/>
                <w:lang w:bidi="ar"/>
              </w:rPr>
              <w:t>。</w:t>
            </w:r>
          </w:p>
        </w:tc>
      </w:tr>
    </w:tbl>
    <w:p w14:paraId="16BBBD0F"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促进服务业优质高效发展</w:t>
      </w:r>
    </w:p>
    <w:p w14:paraId="410AA5FC" w14:textId="77777777" w:rsidR="00080503" w:rsidRDefault="003A23BA">
      <w:pPr>
        <w:overflowPunct w:val="0"/>
        <w:spacing w:line="600" w:lineRule="exact"/>
        <w:ind w:firstLineChars="200" w:firstLine="640"/>
        <w:rPr>
          <w:rFonts w:ascii="宋体" w:eastAsia="仿宋_GB2312" w:hAnsi="宋体" w:cs="仿宋_GB2312"/>
          <w:kern w:val="44"/>
          <w:sz w:val="32"/>
          <w:szCs w:val="48"/>
          <w:lang w:bidi="ar"/>
        </w:rPr>
      </w:pPr>
      <w:r>
        <w:rPr>
          <w:rFonts w:ascii="宋体" w:eastAsia="方正仿宋简体" w:hAnsi="宋体" w:cs="方正仿宋简体" w:hint="eastAsia"/>
          <w:sz w:val="32"/>
          <w:szCs w:val="32"/>
        </w:rPr>
        <w:t>突出服务业对拉动经济高质量发展的重要作用，推动现代服务业与先进制造业、现代农业深度融合发展，</w:t>
      </w:r>
      <w:r>
        <w:rPr>
          <w:rFonts w:ascii="宋体" w:eastAsia="方正仿宋简体" w:hAnsi="宋体" w:cs="方正仿宋简体" w:hint="eastAsia"/>
          <w:sz w:val="32"/>
          <w:szCs w:val="32"/>
          <w:lang w:val="zh-CN"/>
        </w:rPr>
        <w:t>推进生产性服务业向专业化和价值链高端延伸，促进生活性服务业高品质、多样化、便利化发展，</w:t>
      </w:r>
      <w:r>
        <w:rPr>
          <w:rFonts w:ascii="宋体" w:eastAsia="方正仿宋简体" w:hAnsi="宋体" w:cs="方正仿宋简体" w:hint="eastAsia"/>
          <w:sz w:val="32"/>
          <w:szCs w:val="32"/>
        </w:rPr>
        <w:t>着力构建优质高效服务业体系。</w:t>
      </w:r>
    </w:p>
    <w:p w14:paraId="6004251B"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大力实施服务业扩能提质行动。</w:t>
      </w:r>
      <w:r>
        <w:rPr>
          <w:rFonts w:ascii="宋体" w:eastAsia="方正仿宋简体" w:hAnsi="宋体" w:cs="方正仿宋简体" w:hint="eastAsia"/>
          <w:sz w:val="32"/>
          <w:szCs w:val="32"/>
        </w:rPr>
        <w:t>持续深化服务业攻坚突破，坚持量质并重原则，强化统筹协调，着力构建特色突出、功能协同的服务业发展体系。扎实推进服务业主体引育工作，综合运用引进培育、扩量挖潜、整合转型、业态剥离等举措，加快补齐薄弱行业短板，持续提升增量规模。深化产业融合与数字化转型，</w:t>
      </w:r>
      <w:r>
        <w:rPr>
          <w:rFonts w:ascii="宋体" w:eastAsia="方正仿宋简体" w:hAnsi="宋体" w:cs="方正仿宋简体" w:hint="eastAsia"/>
          <w:sz w:val="32"/>
          <w:szCs w:val="32"/>
        </w:rPr>
        <w:lastRenderedPageBreak/>
        <w:t>推动现代服务业与先进制造业、现代农业在技术、标准、业态、链条上融合发展，培育壮大跨界融合的优质市场主体。完善产业政策与生态，健全服务业全产业链政策支持体系，建立统计监测与分析研判机制，强化土地、资金等关键要素对高附加值服务项目的保障，实施重点企业“服务专员”机制，增强政策落地的准确性与企业的满意度。构建集聚发展载体体系，统筹推进“载体建设、产业导入、服务配套”协同，整合优势资源，高标准打造标志性服务业集聚区，促进服务业向高质量、集聚化方向发展。</w:t>
      </w:r>
    </w:p>
    <w:p w14:paraId="560EA3F8"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促进生产性服务业向专业化、高端化升级。</w:t>
      </w:r>
      <w:r>
        <w:rPr>
          <w:rFonts w:ascii="宋体" w:eastAsia="方正仿宋简体" w:hAnsi="宋体" w:cs="方正仿宋简体" w:hint="eastAsia"/>
          <w:sz w:val="32"/>
          <w:szCs w:val="32"/>
        </w:rPr>
        <w:t>聚焦重点领域做强产业集群，重点发展现代金融、科技服务、商务服务、检验检测、人力资源、节能环保等知识密集型生产性服务业，提升行业专业化水平和集成服务能力，着力培育一批在区域内有影响力的龙头企业和特色鲜明的产业集群。深化与主导产业协同嵌入，紧密围绕山钢等企业配套需求，强化生产性服务业的嵌入支撑与协同创新能力，推动供应链管理、工业设计、总集成总承包等服务模式创新。提升物流业数字化、智能化、绿色化水平，加快建设区域性钢铁供应链综合服务中心，增强对制造业的服务支撑能力。培育本地服务品牌与平台，加快信息软件服务业发展，提升工业软件本地化适配与智能化水平，赋能制造业高端化转型。鼓励节能环保服务企业拓展合同能源管理、碳排放核算与认证、环境污染第三方治理等新兴业务。发挥特色农业与畜禽种业优势，</w:t>
      </w:r>
      <w:r>
        <w:rPr>
          <w:rFonts w:ascii="宋体" w:eastAsia="方正仿宋简体" w:hAnsi="宋体" w:cs="方正仿宋简体" w:hint="eastAsia"/>
          <w:sz w:val="32"/>
          <w:szCs w:val="32"/>
        </w:rPr>
        <w:lastRenderedPageBreak/>
        <w:t>推动服务业与现代农业融合发展，提高农业社会化服务水平。</w:t>
      </w:r>
    </w:p>
    <w:p w14:paraId="7FE53949" w14:textId="77777777" w:rsidR="00080503" w:rsidRDefault="003A23BA">
      <w:pPr>
        <w:overflowPunct w:val="0"/>
        <w:spacing w:after="240"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推动生活性服务业向高品质、多样化、便利化发展。</w:t>
      </w:r>
      <w:r>
        <w:rPr>
          <w:rFonts w:ascii="宋体" w:eastAsia="方正仿宋简体" w:hAnsi="宋体" w:cs="方正仿宋简体" w:hint="eastAsia"/>
          <w:sz w:val="32"/>
          <w:szCs w:val="32"/>
        </w:rPr>
        <w:t>立足民生保障与服务升级，持续强化传统服务供给，着力提升社区服务能级，加快推进社区商业设施迭代改造与业态优化升级，科学完善便民生活圈布局，切实增强社区服务的可及性、供给丰富性与业态融合性。聚焦群众关切，持续增加家政服务、文体娱乐、教育培训、健康养生等优质民生服务供给，创新服务模式，优化服务体验，加快构建优质均衡、便捷可及的生活性服务体系，满足多样化、个性化消费需求。支持发展线上线下融合、定制化、共享化、智能化等新型服务模式，拓展智慧家居、智慧医疗、智慧养老等数字化应用场景，以科技赋能激活行业发展新动能。充分激发市场主体内生动力，鼓励生活性服务企业推进标准化建设、品牌化培育和数字化转型，培育一批具有核心竞争力的标杆企业。</w:t>
      </w:r>
    </w:p>
    <w:tbl>
      <w:tblPr>
        <w:tblStyle w:val="a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28"/>
      </w:tblGrid>
      <w:tr w:rsidR="00080503" w14:paraId="76E39795" w14:textId="77777777">
        <w:trPr>
          <w:trHeight w:val="680"/>
        </w:trPr>
        <w:tc>
          <w:tcPr>
            <w:tcW w:w="8967" w:type="dxa"/>
            <w:vAlign w:val="center"/>
          </w:tcPr>
          <w:p w14:paraId="023471E7" w14:textId="77777777" w:rsidR="00080503" w:rsidRDefault="003A23BA">
            <w:pPr>
              <w:overflowPunct w:val="0"/>
              <w:adjustRightInd w:val="0"/>
              <w:snapToGrid w:val="0"/>
              <w:spacing w:line="340" w:lineRule="exact"/>
              <w:jc w:val="center"/>
              <w:outlineLvl w:val="1"/>
              <w:rPr>
                <w:rFonts w:ascii="宋体" w:eastAsia="方正楷体简体" w:hAnsi="宋体" w:cs="方正楷体简体"/>
                <w:kern w:val="44"/>
                <w:sz w:val="28"/>
                <w:szCs w:val="28"/>
                <w:lang w:bidi="ar"/>
              </w:rPr>
            </w:pPr>
            <w:r>
              <w:rPr>
                <w:rFonts w:ascii="宋体" w:eastAsia="黑体" w:hAnsi="宋体" w:cs="黑体" w:hint="eastAsia"/>
                <w:kern w:val="44"/>
                <w:sz w:val="28"/>
                <w:szCs w:val="28"/>
                <w:lang w:bidi="ar"/>
              </w:rPr>
              <w:t>专栏</w:t>
            </w:r>
            <w:r>
              <w:rPr>
                <w:rFonts w:ascii="宋体" w:eastAsia="黑体" w:hAnsi="宋体" w:cs="黑体" w:hint="eastAsia"/>
                <w:kern w:val="44"/>
                <w:sz w:val="28"/>
                <w:szCs w:val="28"/>
                <w:lang w:bidi="ar"/>
              </w:rPr>
              <w:t xml:space="preserve">3  </w:t>
            </w:r>
            <w:r>
              <w:rPr>
                <w:rFonts w:ascii="宋体" w:eastAsia="黑体" w:hAnsi="宋体" w:cs="黑体" w:hint="eastAsia"/>
                <w:kern w:val="44"/>
                <w:sz w:val="28"/>
                <w:szCs w:val="28"/>
                <w:lang w:bidi="ar"/>
              </w:rPr>
              <w:t>服务业发展领域重点项目</w:t>
            </w:r>
          </w:p>
        </w:tc>
      </w:tr>
      <w:tr w:rsidR="00080503" w14:paraId="19B4A6C9" w14:textId="77777777">
        <w:trPr>
          <w:trHeight w:val="3560"/>
        </w:trPr>
        <w:tc>
          <w:tcPr>
            <w:tcW w:w="8967" w:type="dxa"/>
            <w:vAlign w:val="center"/>
          </w:tcPr>
          <w:p w14:paraId="1EC7BE8C" w14:textId="77777777" w:rsidR="00080503" w:rsidRDefault="003A23BA">
            <w:pPr>
              <w:widowControl/>
              <w:overflowPunct w:val="0"/>
              <w:spacing w:line="400" w:lineRule="exact"/>
              <w:ind w:firstLineChars="200" w:firstLine="560"/>
              <w:rPr>
                <w:rFonts w:ascii="宋体" w:eastAsia="方正楷体简体" w:hAnsi="宋体" w:cs="方正楷体简体"/>
                <w:kern w:val="44"/>
                <w:sz w:val="28"/>
                <w:szCs w:val="28"/>
                <w:lang w:bidi="ar"/>
              </w:rPr>
            </w:pPr>
            <w:r>
              <w:rPr>
                <w:rFonts w:ascii="宋体" w:eastAsia="方正仿宋简体" w:hAnsi="宋体" w:cs="方正仿宋简体" w:hint="eastAsia"/>
                <w:kern w:val="44"/>
                <w:sz w:val="28"/>
                <w:szCs w:val="28"/>
                <w:lang w:bidi="ar"/>
              </w:rPr>
              <w:t>鲁中数智仓储物流项目、山东棋院项目、平急两用（山东）应急救援装备基地项目、供销社综合集配中心项目、银山宝通钢材深加工及智慧物流项目、恒睿丰供应链钢铁物流运输项目、英才大厦项目、“鲁商云创”数字化电商产业园项目、希尔顿花园酒店项目、希尔顿逸林酒店项目、德尚四星级酒店项目、钢城区慕康天成养老院项目、汽摩运动休闲综合体项目、金鸡峡山水田园项目、逯家庄商业步行街项目、鹿小七亲子乐园项目。</w:t>
            </w:r>
          </w:p>
        </w:tc>
      </w:tr>
    </w:tbl>
    <w:p w14:paraId="2AB6DAF9"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lastRenderedPageBreak/>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优化产业发展布局</w:t>
      </w:r>
    </w:p>
    <w:p w14:paraId="1E44BA98" w14:textId="77777777" w:rsidR="00080503" w:rsidRDefault="003A23BA">
      <w:pPr>
        <w:pStyle w:val="a3"/>
        <w:overflowPunct w:val="0"/>
        <w:spacing w:line="600" w:lineRule="exact"/>
        <w:ind w:firstLineChars="200" w:firstLine="640"/>
        <w:rPr>
          <w:rFonts w:ascii="宋体" w:eastAsia="方正仿宋简体" w:hAnsi="宋体" w:cs="方正仿宋简体"/>
          <w:b/>
          <w:sz w:val="32"/>
          <w:szCs w:val="32"/>
        </w:rPr>
      </w:pPr>
      <w:r>
        <w:rPr>
          <w:rFonts w:ascii="宋体" w:eastAsia="方正仿宋简体" w:hAnsi="宋体" w:cs="方正仿宋简体" w:hint="eastAsia"/>
          <w:sz w:val="32"/>
          <w:szCs w:val="32"/>
        </w:rPr>
        <w:t>按照“产业集聚、生态宜居、产城融合、土地集约”的发展思路，推动全区产业空间布局优化与功能协调，进一步明确各街道（功能区）产业发展的差异化角色与发展重点，构建特色鲜明、优势互补、联动发展的区域格局，全面支撑“十五五”时期全区高质量发展目标的实现。</w:t>
      </w:r>
    </w:p>
    <w:tbl>
      <w:tblPr>
        <w:tblStyle w:val="a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28"/>
      </w:tblGrid>
      <w:tr w:rsidR="00080503" w14:paraId="31631494" w14:textId="77777777">
        <w:trPr>
          <w:trHeight w:val="680"/>
        </w:trPr>
        <w:tc>
          <w:tcPr>
            <w:tcW w:w="8967" w:type="dxa"/>
            <w:vAlign w:val="center"/>
          </w:tcPr>
          <w:p w14:paraId="67057DA0" w14:textId="77777777" w:rsidR="00080503" w:rsidRDefault="003A23BA">
            <w:pPr>
              <w:overflowPunct w:val="0"/>
              <w:adjustRightInd w:val="0"/>
              <w:snapToGrid w:val="0"/>
              <w:spacing w:line="340" w:lineRule="exact"/>
              <w:jc w:val="center"/>
              <w:outlineLvl w:val="1"/>
              <w:rPr>
                <w:rFonts w:ascii="宋体" w:eastAsia="方正楷体简体" w:hAnsi="宋体" w:cs="方正楷体简体"/>
                <w:kern w:val="44"/>
                <w:sz w:val="28"/>
                <w:szCs w:val="28"/>
                <w:lang w:bidi="ar"/>
              </w:rPr>
            </w:pPr>
            <w:bookmarkStart w:id="83" w:name="_Toc32346"/>
            <w:bookmarkStart w:id="84" w:name="_Toc3215"/>
            <w:bookmarkStart w:id="85" w:name="_Toc27605"/>
            <w:bookmarkStart w:id="86" w:name="_Toc17218"/>
            <w:bookmarkStart w:id="87" w:name="_Toc18051"/>
            <w:bookmarkStart w:id="88" w:name="_Toc15039"/>
            <w:bookmarkStart w:id="89" w:name="_Toc4041"/>
            <w:r>
              <w:rPr>
                <w:rFonts w:ascii="宋体" w:eastAsia="黑体" w:hAnsi="宋体" w:cs="黑体" w:hint="eastAsia"/>
                <w:kern w:val="44"/>
                <w:sz w:val="28"/>
                <w:szCs w:val="28"/>
                <w:lang w:bidi="ar"/>
              </w:rPr>
              <w:t>专栏</w:t>
            </w:r>
            <w:r>
              <w:rPr>
                <w:rFonts w:ascii="宋体" w:eastAsia="黑体" w:hAnsi="宋体" w:cs="黑体" w:hint="eastAsia"/>
                <w:kern w:val="44"/>
                <w:sz w:val="28"/>
                <w:szCs w:val="28"/>
                <w:lang w:bidi="ar"/>
              </w:rPr>
              <w:t xml:space="preserve">4  </w:t>
            </w:r>
            <w:r>
              <w:rPr>
                <w:rFonts w:ascii="宋体" w:eastAsia="黑体" w:hAnsi="宋体" w:cs="黑体" w:hint="eastAsia"/>
                <w:kern w:val="44"/>
                <w:sz w:val="28"/>
                <w:szCs w:val="28"/>
                <w:lang w:bidi="ar"/>
              </w:rPr>
              <w:t>各街道（功能区）产业发展定位</w:t>
            </w:r>
            <w:bookmarkEnd w:id="83"/>
            <w:bookmarkEnd w:id="84"/>
            <w:bookmarkEnd w:id="85"/>
            <w:bookmarkEnd w:id="86"/>
            <w:bookmarkEnd w:id="87"/>
            <w:bookmarkEnd w:id="88"/>
            <w:bookmarkEnd w:id="89"/>
          </w:p>
        </w:tc>
      </w:tr>
      <w:tr w:rsidR="00080503" w14:paraId="0731CC9C" w14:textId="77777777">
        <w:trPr>
          <w:trHeight w:val="3102"/>
        </w:trPr>
        <w:tc>
          <w:tcPr>
            <w:tcW w:w="8967" w:type="dxa"/>
            <w:vAlign w:val="center"/>
          </w:tcPr>
          <w:p w14:paraId="6E67B06A"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rPr>
            </w:pPr>
            <w:r>
              <w:rPr>
                <w:rFonts w:ascii="宋体" w:eastAsia="方正楷体简体" w:hAnsi="宋体" w:cs="方正楷体简体" w:hint="eastAsia"/>
                <w:kern w:val="0"/>
                <w:sz w:val="28"/>
                <w:szCs w:val="28"/>
              </w:rPr>
              <w:t>山东济南钢城经济开发区：</w:t>
            </w:r>
            <w:r>
              <w:rPr>
                <w:rFonts w:ascii="宋体" w:eastAsia="方正仿宋简体" w:hAnsi="宋体" w:cs="方正仿宋简体" w:hint="eastAsia"/>
                <w:kern w:val="0"/>
                <w:sz w:val="28"/>
                <w:szCs w:val="28"/>
              </w:rPr>
              <w:t>先进材料、专用装备、汽车零部件。</w:t>
            </w:r>
          </w:p>
          <w:p w14:paraId="71B1EC20"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rPr>
            </w:pPr>
            <w:r>
              <w:rPr>
                <w:rFonts w:ascii="宋体" w:eastAsia="方正楷体简体" w:hAnsi="宋体" w:cs="方正楷体简体" w:hint="eastAsia"/>
                <w:kern w:val="0"/>
                <w:sz w:val="28"/>
                <w:szCs w:val="28"/>
              </w:rPr>
              <w:t>艾山街道：</w:t>
            </w:r>
            <w:r>
              <w:rPr>
                <w:rFonts w:ascii="宋体" w:eastAsia="方正仿宋简体" w:hAnsi="宋体" w:cs="方正仿宋简体" w:hint="eastAsia"/>
                <w:kern w:val="0"/>
                <w:sz w:val="28"/>
                <w:szCs w:val="28"/>
              </w:rPr>
              <w:t>先进材料、精品钢及深加工、现代服务业。</w:t>
            </w:r>
          </w:p>
          <w:p w14:paraId="015C4C3F"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rPr>
            </w:pPr>
            <w:r>
              <w:rPr>
                <w:rFonts w:ascii="宋体" w:eastAsia="方正楷体简体" w:hAnsi="宋体" w:cs="方正楷体简体" w:hint="eastAsia"/>
                <w:kern w:val="0"/>
                <w:sz w:val="28"/>
                <w:szCs w:val="28"/>
              </w:rPr>
              <w:t>颜庄街道：</w:t>
            </w:r>
            <w:r>
              <w:rPr>
                <w:rFonts w:ascii="宋体" w:eastAsia="方正仿宋简体" w:hAnsi="宋体" w:cs="方正仿宋简体" w:hint="eastAsia"/>
                <w:kern w:val="0"/>
                <w:sz w:val="28"/>
                <w:szCs w:val="28"/>
              </w:rPr>
              <w:t>特色无纺材料、精品钢深加工、农文旅融合。</w:t>
            </w:r>
          </w:p>
          <w:p w14:paraId="7086F967"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lang w:bidi="ar"/>
              </w:rPr>
            </w:pPr>
            <w:r>
              <w:rPr>
                <w:rFonts w:ascii="宋体" w:eastAsia="方正楷体简体" w:hAnsi="宋体" w:cs="方正楷体简体" w:hint="eastAsia"/>
                <w:kern w:val="0"/>
                <w:sz w:val="28"/>
                <w:szCs w:val="28"/>
              </w:rPr>
              <w:t>汶源街道：</w:t>
            </w:r>
            <w:r>
              <w:rPr>
                <w:rFonts w:ascii="宋体" w:eastAsia="方正仿宋简体" w:hAnsi="宋体" w:cs="方正仿宋简体" w:hint="eastAsia"/>
                <w:kern w:val="0"/>
                <w:sz w:val="28"/>
                <w:szCs w:val="28"/>
              </w:rPr>
              <w:t>现代服务业、农文旅融合</w:t>
            </w:r>
            <w:r>
              <w:rPr>
                <w:rFonts w:ascii="宋体" w:eastAsia="方正仿宋简体" w:hAnsi="宋体" w:cs="方正仿宋简体" w:hint="eastAsia"/>
                <w:kern w:val="0"/>
                <w:sz w:val="28"/>
                <w:szCs w:val="28"/>
                <w:lang w:bidi="ar"/>
              </w:rPr>
              <w:t>。</w:t>
            </w:r>
          </w:p>
          <w:p w14:paraId="240D47A1"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rPr>
            </w:pPr>
            <w:r>
              <w:rPr>
                <w:rFonts w:ascii="宋体" w:eastAsia="方正楷体简体" w:hAnsi="宋体" w:cs="方正楷体简体" w:hint="eastAsia"/>
                <w:kern w:val="0"/>
                <w:sz w:val="28"/>
                <w:szCs w:val="28"/>
              </w:rPr>
              <w:t>里辛街道：</w:t>
            </w:r>
            <w:r>
              <w:rPr>
                <w:rFonts w:ascii="宋体" w:eastAsia="方正仿宋简体" w:hAnsi="宋体" w:cs="方正仿宋简体" w:hint="eastAsia"/>
                <w:kern w:val="0"/>
                <w:sz w:val="28"/>
                <w:szCs w:val="28"/>
              </w:rPr>
              <w:t>精品钢及深加工、精密铸锻与装备制造、畜禽种业。</w:t>
            </w:r>
          </w:p>
          <w:p w14:paraId="77BD3B4E" w14:textId="77777777" w:rsidR="00080503" w:rsidRDefault="003A23BA">
            <w:pPr>
              <w:widowControl/>
              <w:overflowPunct w:val="0"/>
              <w:spacing w:line="400" w:lineRule="exact"/>
              <w:ind w:firstLineChars="200" w:firstLine="560"/>
              <w:rPr>
                <w:rFonts w:ascii="宋体" w:eastAsia="方正仿宋简体" w:hAnsi="宋体" w:cs="方正仿宋简体"/>
                <w:kern w:val="0"/>
                <w:sz w:val="28"/>
                <w:szCs w:val="28"/>
              </w:rPr>
            </w:pPr>
            <w:r>
              <w:rPr>
                <w:rFonts w:ascii="宋体" w:eastAsia="方正楷体简体" w:hAnsi="宋体" w:cs="方正楷体简体" w:hint="eastAsia"/>
                <w:kern w:val="0"/>
                <w:sz w:val="28"/>
                <w:szCs w:val="28"/>
              </w:rPr>
              <w:t>辛庄街道：</w:t>
            </w:r>
            <w:r>
              <w:rPr>
                <w:rFonts w:ascii="宋体" w:eastAsia="方正仿宋简体" w:hAnsi="宋体" w:cs="方正仿宋简体" w:hint="eastAsia"/>
                <w:kern w:val="0"/>
                <w:sz w:val="28"/>
                <w:szCs w:val="28"/>
              </w:rPr>
              <w:t>畜禽种业、食品及深加工、农文旅融合。</w:t>
            </w:r>
          </w:p>
          <w:p w14:paraId="73CEA728" w14:textId="77777777" w:rsidR="00080503" w:rsidRDefault="003A23BA">
            <w:pPr>
              <w:widowControl/>
              <w:overflowPunct w:val="0"/>
              <w:spacing w:line="400" w:lineRule="exact"/>
              <w:ind w:firstLineChars="200" w:firstLine="560"/>
              <w:rPr>
                <w:rFonts w:ascii="宋体" w:eastAsia="方正楷体简体" w:hAnsi="宋体" w:cs="方正楷体简体"/>
                <w:kern w:val="44"/>
                <w:sz w:val="28"/>
                <w:szCs w:val="28"/>
                <w:lang w:bidi="ar"/>
              </w:rPr>
            </w:pPr>
            <w:r>
              <w:rPr>
                <w:rFonts w:ascii="宋体" w:eastAsia="方正楷体简体" w:hAnsi="宋体" w:cs="方正楷体简体" w:hint="eastAsia"/>
                <w:kern w:val="0"/>
                <w:sz w:val="28"/>
                <w:szCs w:val="28"/>
              </w:rPr>
              <w:t>南部新城：</w:t>
            </w:r>
            <w:r>
              <w:rPr>
                <w:rFonts w:ascii="宋体" w:eastAsia="方正仿宋简体" w:hAnsi="宋体" w:cs="方正仿宋简体" w:hint="eastAsia"/>
                <w:kern w:val="0"/>
                <w:sz w:val="28"/>
                <w:szCs w:val="28"/>
              </w:rPr>
              <w:t>智能装备制造、新型功能材料。</w:t>
            </w:r>
          </w:p>
        </w:tc>
      </w:tr>
    </w:tbl>
    <w:p w14:paraId="5BB790C7" w14:textId="77777777" w:rsidR="00080503" w:rsidRDefault="003A23BA">
      <w:pPr>
        <w:pStyle w:val="a3"/>
        <w:overflowPunct w:val="0"/>
        <w:spacing w:after="0" w:line="6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36D5706B" w14:textId="77777777" w:rsidR="00080503" w:rsidRDefault="00080503">
      <w:pPr>
        <w:pStyle w:val="a3"/>
        <w:overflowPunct w:val="0"/>
        <w:spacing w:after="0" w:line="590" w:lineRule="exact"/>
        <w:jc w:val="center"/>
        <w:rPr>
          <w:rFonts w:ascii="方正小标宋简体" w:eastAsia="方正小标宋简体" w:hAnsi="宋体" w:cs="方正仿宋简体"/>
          <w:sz w:val="44"/>
          <w:szCs w:val="44"/>
        </w:rPr>
      </w:pPr>
    </w:p>
    <w:p w14:paraId="55C345F6" w14:textId="77777777" w:rsidR="00080503" w:rsidRDefault="003A23BA">
      <w:pPr>
        <w:pStyle w:val="a3"/>
        <w:overflowPunct w:val="0"/>
        <w:spacing w:after="0" w:line="590"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第五章  </w:t>
      </w:r>
      <w:r>
        <w:rPr>
          <w:rFonts w:ascii="方正小标宋简体" w:eastAsia="方正小标宋简体" w:hAnsi="宋体" w:cs="方正小标宋简体" w:hint="eastAsia"/>
          <w:sz w:val="44"/>
          <w:szCs w:val="44"/>
        </w:rPr>
        <w:t>强化科技创新支撑，</w:t>
      </w:r>
    </w:p>
    <w:p w14:paraId="2CCBD6E8" w14:textId="77777777" w:rsidR="00080503" w:rsidRDefault="003A23BA">
      <w:pPr>
        <w:pStyle w:val="a3"/>
        <w:overflowPunct w:val="0"/>
        <w:spacing w:after="0" w:line="590"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引领发展新质生产力</w:t>
      </w:r>
    </w:p>
    <w:p w14:paraId="091473C7" w14:textId="77777777" w:rsidR="00080503" w:rsidRDefault="00080503">
      <w:pPr>
        <w:pStyle w:val="a3"/>
        <w:overflowPunct w:val="0"/>
        <w:spacing w:after="0" w:line="590" w:lineRule="exact"/>
        <w:rPr>
          <w:rFonts w:ascii="宋体" w:eastAsia="方正仿宋简体" w:hAnsi="宋体" w:cs="方正仿宋简体"/>
          <w:sz w:val="32"/>
          <w:szCs w:val="32"/>
        </w:rPr>
      </w:pPr>
    </w:p>
    <w:p w14:paraId="1336BDD8" w14:textId="77777777" w:rsidR="00080503" w:rsidRDefault="003A23BA">
      <w:pPr>
        <w:pStyle w:val="a3"/>
        <w:overflowPunct w:val="0"/>
        <w:spacing w:after="0" w:line="59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以科技创新引领新质生产力发展，推动创新链、产业链、资金链、人才链深度融合，加快技术、数据、资本等要素市场化建设，提升创新体系整体效能。</w:t>
      </w:r>
    </w:p>
    <w:p w14:paraId="35DB8669" w14:textId="77777777" w:rsidR="00080503" w:rsidRDefault="003A23BA">
      <w:pPr>
        <w:pStyle w:val="a3"/>
        <w:overflowPunct w:val="0"/>
        <w:spacing w:before="240" w:line="59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强化企业创新主体地位</w:t>
      </w:r>
    </w:p>
    <w:p w14:paraId="225AC0ED" w14:textId="77777777" w:rsidR="00080503" w:rsidRDefault="003A23BA">
      <w:pPr>
        <w:overflowPunct w:val="0"/>
        <w:spacing w:line="590" w:lineRule="exact"/>
        <w:ind w:firstLineChars="200" w:firstLine="640"/>
        <w:rPr>
          <w:rFonts w:ascii="宋体" w:eastAsia="仿宋_GB2312" w:hAnsi="宋体" w:cs="仿宋_GB2312"/>
          <w:kern w:val="0"/>
          <w:sz w:val="32"/>
          <w:szCs w:val="36"/>
          <w:lang w:bidi="ar"/>
        </w:rPr>
      </w:pPr>
      <w:r>
        <w:rPr>
          <w:rFonts w:ascii="宋体" w:eastAsia="方正仿宋简体" w:hAnsi="宋体" w:cs="方正仿宋简体" w:hint="eastAsia"/>
          <w:sz w:val="32"/>
          <w:szCs w:val="32"/>
        </w:rPr>
        <w:t>聚焦企业全生命周期发展需求，坚持以提升企业创新能力为基础，加快构建以企业为主体的科技创新体系，推动产业链与创新链深度融合，加速创新资源向企业集聚、创新成果向生产力转化。</w:t>
      </w:r>
    </w:p>
    <w:p w14:paraId="02D6E38C" w14:textId="77777777" w:rsidR="00080503" w:rsidRDefault="003A23BA">
      <w:pPr>
        <w:overflowPunct w:val="0"/>
        <w:spacing w:line="59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完善企业梯度培育体系。</w:t>
      </w:r>
      <w:r>
        <w:rPr>
          <w:rFonts w:ascii="宋体" w:eastAsia="方正仿宋简体" w:hAnsi="宋体" w:cs="方正仿宋简体"/>
          <w:sz w:val="32"/>
          <w:szCs w:val="32"/>
        </w:rPr>
        <w:t>优化科技型企业培育机制，构建</w:t>
      </w:r>
      <w:r>
        <w:rPr>
          <w:rFonts w:ascii="宋体" w:eastAsia="方正仿宋简体" w:hAnsi="宋体" w:cs="方正仿宋简体"/>
          <w:sz w:val="32"/>
          <w:szCs w:val="32"/>
        </w:rPr>
        <w:t>“</w:t>
      </w:r>
      <w:r>
        <w:rPr>
          <w:rFonts w:ascii="宋体" w:eastAsia="方正仿宋简体" w:hAnsi="宋体" w:cs="方正仿宋简体"/>
          <w:sz w:val="32"/>
          <w:szCs w:val="32"/>
        </w:rPr>
        <w:t>微成长、小升高、高变强</w:t>
      </w:r>
      <w:r>
        <w:rPr>
          <w:rFonts w:ascii="宋体" w:eastAsia="方正仿宋简体" w:hAnsi="宋体" w:cs="方正仿宋简体"/>
          <w:sz w:val="32"/>
          <w:szCs w:val="32"/>
        </w:rPr>
        <w:t>”</w:t>
      </w:r>
      <w:r>
        <w:rPr>
          <w:rFonts w:ascii="宋体" w:eastAsia="方正仿宋简体" w:hAnsi="宋体" w:cs="方正仿宋简体"/>
          <w:sz w:val="32"/>
          <w:szCs w:val="32"/>
        </w:rPr>
        <w:t>梯次型、全周期引育体系，持续培育科技创新主体</w:t>
      </w:r>
      <w:r>
        <w:rPr>
          <w:rFonts w:ascii="宋体" w:eastAsia="方正仿宋简体" w:hAnsi="宋体" w:cs="方正仿宋简体" w:hint="eastAsia"/>
          <w:sz w:val="32"/>
          <w:szCs w:val="32"/>
        </w:rPr>
        <w:t>。到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年，力争实现科技型中小企业评价入库</w:t>
      </w:r>
      <w:r>
        <w:rPr>
          <w:rFonts w:ascii="宋体" w:eastAsia="方正仿宋简体" w:hAnsi="宋体" w:cs="方正仿宋简体" w:hint="eastAsia"/>
          <w:sz w:val="32"/>
          <w:szCs w:val="32"/>
        </w:rPr>
        <w:t>170</w:t>
      </w:r>
      <w:r>
        <w:rPr>
          <w:rFonts w:ascii="宋体" w:eastAsia="方正仿宋简体" w:hAnsi="宋体" w:cs="方正仿宋简体" w:hint="eastAsia"/>
          <w:sz w:val="32"/>
          <w:szCs w:val="32"/>
        </w:rPr>
        <w:t>家、高新技术企业达到</w:t>
      </w:r>
      <w:r>
        <w:rPr>
          <w:rFonts w:ascii="宋体" w:eastAsia="方正仿宋简体" w:hAnsi="宋体" w:cs="方正仿宋简体" w:hint="eastAsia"/>
          <w:sz w:val="32"/>
          <w:szCs w:val="32"/>
        </w:rPr>
        <w:t>110</w:t>
      </w:r>
      <w:r>
        <w:rPr>
          <w:rFonts w:ascii="宋体" w:eastAsia="方正仿宋简体" w:hAnsi="宋体" w:cs="方正仿宋简体" w:hint="eastAsia"/>
          <w:sz w:val="32"/>
          <w:szCs w:val="32"/>
        </w:rPr>
        <w:t>家。建立高成长型企业梯度培育库，完善差异化支持政策，五年累计培育省级专精特新企业</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家、创新型中小企业</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家。强化科技领军型企业引导作用，培育一批协作配套的小微企业，形成结构合理、竞争力强、具有创新活力的产业集群。</w:t>
      </w:r>
    </w:p>
    <w:p w14:paraId="214B8A49" w14:textId="77777777" w:rsidR="00080503" w:rsidRDefault="003A23BA">
      <w:pPr>
        <w:overflowPunct w:val="0"/>
        <w:spacing w:line="590" w:lineRule="exact"/>
        <w:ind w:firstLineChars="200" w:firstLine="640"/>
        <w:rPr>
          <w:rFonts w:ascii="宋体" w:eastAsia="方正楷体简体" w:hAnsi="宋体" w:cs="方正楷体简体"/>
          <w:sz w:val="32"/>
          <w:szCs w:val="32"/>
        </w:rPr>
      </w:pPr>
      <w:r>
        <w:rPr>
          <w:rFonts w:ascii="宋体" w:eastAsia="方正楷体简体" w:hAnsi="宋体" w:cs="方正楷体简体"/>
          <w:sz w:val="32"/>
          <w:szCs w:val="32"/>
        </w:rPr>
        <w:t>激</w:t>
      </w:r>
      <w:r>
        <w:rPr>
          <w:rFonts w:ascii="宋体" w:eastAsia="方正楷体简体" w:hAnsi="宋体" w:cs="方正楷体简体" w:hint="eastAsia"/>
          <w:sz w:val="32"/>
          <w:szCs w:val="32"/>
        </w:rPr>
        <w:t>发企业创新内生动力。</w:t>
      </w:r>
      <w:r>
        <w:rPr>
          <w:rFonts w:ascii="宋体" w:eastAsia="方正仿宋简体" w:hAnsi="宋体" w:cs="方正仿宋简体"/>
          <w:sz w:val="32"/>
          <w:szCs w:val="32"/>
        </w:rPr>
        <w:t>坚持创新资源向企业集聚的导向，</w:t>
      </w:r>
      <w:r>
        <w:rPr>
          <w:rFonts w:ascii="宋体" w:eastAsia="方正仿宋简体" w:hAnsi="宋体" w:cs="方正仿宋简体"/>
          <w:sz w:val="32"/>
          <w:szCs w:val="32"/>
        </w:rPr>
        <w:lastRenderedPageBreak/>
        <w:t>推动科技项目、平台建设、资金人才等创新资源向企业倾斜，提高企业牵头承担重大科技创新项目的比重</w:t>
      </w:r>
      <w:r>
        <w:rPr>
          <w:rFonts w:ascii="宋体" w:eastAsia="方正仿宋简体" w:hAnsi="宋体" w:cs="方正仿宋简体" w:hint="eastAsia"/>
          <w:sz w:val="32"/>
          <w:szCs w:val="32"/>
        </w:rPr>
        <w:t>。强化财政资金的引导与撬动作用，充分激发企业创新活力与内生动力，激励企业持续加大研发投入，落实好企业研发费用加计扣除、高新技术企业税收优惠等普惠性政策，营造全社会共同支持创新、参与创新的浓厚氛围。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年，力争全社会研发经费投入占</w:t>
      </w:r>
      <w:r>
        <w:rPr>
          <w:rFonts w:ascii="宋体" w:eastAsia="方正仿宋简体" w:hAnsi="宋体" w:cs="方正仿宋简体" w:hint="eastAsia"/>
          <w:sz w:val="32"/>
          <w:szCs w:val="32"/>
        </w:rPr>
        <w:t>GDP</w:t>
      </w:r>
      <w:r>
        <w:rPr>
          <w:rFonts w:ascii="宋体" w:eastAsia="方正仿宋简体" w:hAnsi="宋体" w:cs="方正仿宋简体" w:hint="eastAsia"/>
          <w:sz w:val="32"/>
          <w:szCs w:val="32"/>
        </w:rPr>
        <w:t>比重</w:t>
      </w:r>
      <w:bookmarkStart w:id="90" w:name="OLE_LINK9"/>
      <w:bookmarkStart w:id="91" w:name="OLE_LINK13"/>
      <w:r>
        <w:rPr>
          <w:rFonts w:ascii="宋体" w:eastAsia="方正仿宋简体" w:hAnsi="宋体" w:cs="方正仿宋简体" w:hint="eastAsia"/>
          <w:sz w:val="32"/>
          <w:szCs w:val="32"/>
        </w:rPr>
        <w:t>保持在</w:t>
      </w:r>
      <w:r>
        <w:rPr>
          <w:rFonts w:ascii="宋体" w:eastAsia="方正仿宋简体" w:hAnsi="宋体" w:cs="方正仿宋简体" w:hint="eastAsia"/>
          <w:sz w:val="32"/>
          <w:szCs w:val="32"/>
        </w:rPr>
        <w:t>4%</w:t>
      </w:r>
      <w:r>
        <w:rPr>
          <w:rFonts w:ascii="宋体" w:eastAsia="方正仿宋简体" w:hAnsi="宋体" w:cs="方正仿宋简体" w:hint="eastAsia"/>
          <w:sz w:val="32"/>
          <w:szCs w:val="32"/>
        </w:rPr>
        <w:t>以上</w:t>
      </w:r>
      <w:bookmarkEnd w:id="90"/>
      <w:bookmarkEnd w:id="91"/>
      <w:r>
        <w:rPr>
          <w:rFonts w:ascii="宋体" w:eastAsia="方正仿宋简体" w:hAnsi="宋体" w:cs="方正仿宋简体" w:hint="eastAsia"/>
          <w:sz w:val="32"/>
          <w:szCs w:val="32"/>
        </w:rPr>
        <w:t>。加大政府采购企业自主创新产品力度，支持首台（套）技术装备、首批次新材料、首版次高端软件产品研发应用。提升企业创新决策话语权，常态化组织企业专家参与科技咨询，支持企业专家参与科技规划、重大政策等研究。</w:t>
      </w:r>
    </w:p>
    <w:p w14:paraId="11734DE4" w14:textId="77777777" w:rsidR="00080503" w:rsidRDefault="003A23BA">
      <w:pPr>
        <w:overflowPunct w:val="0"/>
        <w:spacing w:line="59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推动产业链协同创新。</w:t>
      </w:r>
      <w:r>
        <w:rPr>
          <w:rFonts w:ascii="宋体" w:eastAsia="方正仿宋简体" w:hAnsi="宋体" w:cs="方正仿宋简体" w:hint="eastAsia"/>
          <w:sz w:val="32"/>
          <w:szCs w:val="32"/>
        </w:rPr>
        <w:t>推进产业链与创新链双向发力，强化科技对产业的正向作用，加速科技向技术、产品、产业的有效转化。强化产业对科技创新的逆向刺激，加快原创技术和关键核心技术突破，着力破解产业发展中“卡脖子”难题，推动工程技术发展，夯实产业创新基础。鼓励产业链上下游企业联合开展研发，建立共享科研设施、共担风险的合作机制，将配套服务和应用场景开发纳入创新支持体系，推动上下游企业协同攻关，加快技术标准衔接和数据资源共享，促进科技成果在真实场景中的快速转化与规模化应用。</w:t>
      </w:r>
    </w:p>
    <w:p w14:paraId="12328742" w14:textId="77777777" w:rsidR="00080503" w:rsidRDefault="003A23BA">
      <w:pPr>
        <w:pStyle w:val="a3"/>
        <w:overflowPunct w:val="0"/>
        <w:spacing w:before="240" w:line="59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方正仿宋简体" w:hint="eastAsia"/>
          <w:sz w:val="32"/>
          <w:szCs w:val="32"/>
        </w:rPr>
        <w:t>提高科技供给能力</w:t>
      </w:r>
    </w:p>
    <w:p w14:paraId="7BC4B343" w14:textId="77777777" w:rsidR="00080503" w:rsidRDefault="003A23BA">
      <w:pPr>
        <w:overflowPunct w:val="0"/>
        <w:spacing w:line="590" w:lineRule="exact"/>
        <w:ind w:firstLineChars="200" w:firstLine="640"/>
        <w:rPr>
          <w:rFonts w:ascii="宋体" w:eastAsia="仿宋_GB2312" w:hAnsi="宋体" w:cs="仿宋_GB2312"/>
          <w:sz w:val="32"/>
          <w:szCs w:val="32"/>
          <w:lang w:bidi="ar"/>
        </w:rPr>
      </w:pPr>
      <w:r>
        <w:rPr>
          <w:rFonts w:ascii="宋体" w:eastAsia="方正仿宋简体" w:hAnsi="宋体" w:cs="方正仿宋简体" w:hint="eastAsia"/>
          <w:sz w:val="32"/>
          <w:szCs w:val="32"/>
        </w:rPr>
        <w:t>聚焦产业痛点、技术难点和发展堵点，统筹推进源头创新、</w:t>
      </w:r>
      <w:r>
        <w:rPr>
          <w:rFonts w:ascii="宋体" w:eastAsia="方正仿宋简体" w:hAnsi="宋体" w:cs="方正仿宋简体" w:hint="eastAsia"/>
          <w:sz w:val="32"/>
          <w:szCs w:val="32"/>
        </w:rPr>
        <w:lastRenderedPageBreak/>
        <w:t>技术创新、场景创新，建强用好各类创新平台，畅通研发与市场转化渠道，全面提升科技创新实力。</w:t>
      </w:r>
    </w:p>
    <w:p w14:paraId="41F56811" w14:textId="77777777" w:rsidR="00080503" w:rsidRDefault="003A23BA">
      <w:pPr>
        <w:overflowPunct w:val="0"/>
        <w:spacing w:line="59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建设高水平科技创新平台</w:t>
      </w:r>
      <w:bookmarkStart w:id="92" w:name="_Toc28990"/>
      <w:bookmarkStart w:id="93" w:name="_Toc14663"/>
      <w:r>
        <w:rPr>
          <w:rFonts w:ascii="宋体" w:eastAsia="方正楷体简体" w:hAnsi="宋体" w:cs="方正楷体简体" w:hint="eastAsia"/>
          <w:sz w:val="32"/>
          <w:szCs w:val="32"/>
        </w:rPr>
        <w:t>。</w:t>
      </w:r>
      <w:r>
        <w:rPr>
          <w:rFonts w:ascii="宋体" w:eastAsia="方正仿宋简体" w:hAnsi="宋体" w:cs="方正仿宋简体" w:hint="eastAsia"/>
          <w:sz w:val="32"/>
          <w:szCs w:val="32"/>
        </w:rPr>
        <w:t>依托区产业研发中心、区科创中心等载体，积极引进专业化科技型企业孵化器，推动科技创新和产业创新深度融合，提高科技创新水平。依托未来畜禽种业现代农业产业园、畜禽育种创新中心等平台载体，建立与省农科院等科研机构的常态化对接合作机制，以科技创新赋能畜禽种业振兴。完善多层次实验室体系，充分发挥山钢股份省重点实验室引领带动作用，支持企业联合高等院校、科研机构融合发展、协同攻关，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年争取新增畜禽等领域省重点实验室</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家以上、市重点实验室</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家以上。支持金雷科技联合上海交通大学争创风电领域省级技术创新中心，重点突破风电齿轮箱轴承国产化替代等关键技术。围绕“粉末冶金—特种合金—高端装备”全产业链开展创新研究，为科技创新活动提供坚实的硬件支撑和载体保障。</w:t>
      </w:r>
    </w:p>
    <w:p w14:paraId="24D066C8" w14:textId="77777777" w:rsidR="00080503" w:rsidRDefault="003A23BA">
      <w:pPr>
        <w:overflowPunct w:val="0"/>
        <w:spacing w:line="59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加强关键核心技术攻关。</w:t>
      </w:r>
      <w:r>
        <w:rPr>
          <w:rFonts w:ascii="宋体" w:eastAsia="方正仿宋简体" w:hAnsi="宋体" w:cs="方正仿宋简体" w:hint="eastAsia"/>
          <w:sz w:val="32"/>
          <w:szCs w:val="32"/>
        </w:rPr>
        <w:t>推动产业需求与科研攻关精准对接，引导山钢股份、金雷科技、鲁银新材料、新艺粉末等研发能力强、带动作用明显的企业积极申报国家、省、市重大科技项目，积蓄新质生产力创新动能。鼓励行业龙头企业与科研院所组建创新联合体，积极参与省重大创新工程项目、市科技计划“揭榜挂帅”项目，共同突破一批国产化替代、颠覆性关键核心技术，为区域经济高质量发展注入强劲动力。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年，力争参与实施省</w:t>
      </w:r>
      <w:r>
        <w:rPr>
          <w:rFonts w:ascii="宋体" w:eastAsia="方正仿宋简体" w:hAnsi="宋体" w:cs="方正仿宋简体" w:hint="eastAsia"/>
          <w:sz w:val="32"/>
          <w:szCs w:val="32"/>
        </w:rPr>
        <w:lastRenderedPageBreak/>
        <w:t>市科技计划项目</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项以上。</w:t>
      </w:r>
    </w:p>
    <w:bookmarkEnd w:id="92"/>
    <w:bookmarkEnd w:id="93"/>
    <w:p w14:paraId="1C7871BB" w14:textId="77777777" w:rsidR="00080503" w:rsidRDefault="003A23BA">
      <w:pPr>
        <w:overflowPunct w:val="0"/>
        <w:spacing w:after="240" w:line="59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推动科技成果高效转化。</w:t>
      </w:r>
      <w:r>
        <w:rPr>
          <w:rFonts w:ascii="宋体" w:eastAsia="方正仿宋简体" w:hAnsi="宋体" w:cs="方正仿宋简体" w:hint="eastAsia"/>
          <w:sz w:val="32"/>
          <w:szCs w:val="32"/>
        </w:rPr>
        <w:t>以产业创新发展需求为总牵引，提升产业链韧性与现代化水平，系统性构建科技成果转化通道。探索区域科技合作模式，加大与市内外高校院所、优质企业的交流，持续加强与山东大学、济南大学等常态化对接合作，搭建高校科研资源与地方产业需求对接平台，常态化开展科技成果转化供需对接，导入契合我区产业方向的优质科技成果与项目，促进校企科研成果转化落地，加快实现将科技成果转化为经济效益。推动知识产权实现高质量创造、高效益运用、高水平保护，构建从研发到运用、从运用到保护、从确权到维权的知识产权全产业链服务体系，更好发挥知识产权制度激励创新的基本保障作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928"/>
      </w:tblGrid>
      <w:tr w:rsidR="00080503" w14:paraId="4AF52866" w14:textId="77777777">
        <w:trPr>
          <w:trHeight w:val="680"/>
          <w:jc w:val="center"/>
        </w:trPr>
        <w:tc>
          <w:tcPr>
            <w:tcW w:w="8958" w:type="dxa"/>
            <w:vAlign w:val="center"/>
          </w:tcPr>
          <w:p w14:paraId="32315185" w14:textId="77777777" w:rsidR="00080503" w:rsidRDefault="003A23BA">
            <w:pPr>
              <w:widowControl/>
              <w:overflowPunct w:val="0"/>
              <w:spacing w:line="340" w:lineRule="exact"/>
              <w:ind w:firstLineChars="200" w:firstLine="560"/>
              <w:jc w:val="center"/>
              <w:rPr>
                <w:rFonts w:ascii="宋体" w:eastAsia="方正楷体简体" w:hAnsi="宋体" w:cs="方正楷体简体"/>
                <w:sz w:val="28"/>
                <w:szCs w:val="28"/>
              </w:rPr>
            </w:pPr>
            <w:r>
              <w:rPr>
                <w:rFonts w:ascii="宋体" w:eastAsia="黑体" w:hAnsi="宋体" w:cs="黑体" w:hint="eastAsia"/>
                <w:sz w:val="28"/>
                <w:szCs w:val="28"/>
              </w:rPr>
              <w:t>专栏</w:t>
            </w:r>
            <w:r>
              <w:rPr>
                <w:rFonts w:ascii="宋体" w:eastAsia="黑体" w:hAnsi="宋体" w:cs="黑体" w:hint="eastAsia"/>
                <w:sz w:val="28"/>
                <w:szCs w:val="28"/>
              </w:rPr>
              <w:t xml:space="preserve">5  </w:t>
            </w:r>
            <w:r>
              <w:rPr>
                <w:rFonts w:ascii="宋体" w:eastAsia="黑体" w:hAnsi="宋体" w:cs="黑体" w:hint="eastAsia"/>
                <w:sz w:val="28"/>
                <w:szCs w:val="28"/>
              </w:rPr>
              <w:t>高能级创新平台</w:t>
            </w:r>
          </w:p>
        </w:tc>
      </w:tr>
      <w:tr w:rsidR="00080503" w14:paraId="75B43981" w14:textId="77777777" w:rsidTr="003A23BA">
        <w:trPr>
          <w:trHeight w:val="5454"/>
          <w:jc w:val="center"/>
        </w:trPr>
        <w:tc>
          <w:tcPr>
            <w:tcW w:w="8958" w:type="dxa"/>
            <w:vAlign w:val="center"/>
          </w:tcPr>
          <w:p w14:paraId="410FC6E8"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仿宋简体" w:hAnsi="宋体" w:cs="方正仿宋简体" w:hint="eastAsia"/>
                <w:sz w:val="28"/>
                <w:szCs w:val="28"/>
              </w:rPr>
              <w:t>山钢股份。加快建设山东省先进钢铁材料与流程重点实验室</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聚力突破高品质海工钢</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风电钢耐磨钢</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特种钢等高端产品关键共性技术</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打造一流先进钢铁材料高水平科研基地</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产业化示范基地和人才培养基地。</w:t>
            </w:r>
          </w:p>
          <w:p w14:paraId="333418E4"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仿宋简体" w:hAnsi="宋体" w:cs="方正仿宋简体" w:hint="eastAsia"/>
                <w:sz w:val="28"/>
                <w:szCs w:val="28"/>
              </w:rPr>
              <w:t>金雷科技股份公司。联合上海交通大学加快推进风电领域省级技术创新中心，重点突破风电齿轮箱轴承国产化替代等关键技术。</w:t>
            </w:r>
          </w:p>
          <w:p w14:paraId="6AE4E001"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仿宋简体" w:hAnsi="宋体" w:cs="方正仿宋简体" w:hint="eastAsia"/>
                <w:sz w:val="28"/>
                <w:szCs w:val="28"/>
              </w:rPr>
              <w:t>山东鲁银新材料科技有限公司。联合中南大学加快推进新材料研究院建设</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围绕</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粉末冶金</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特种合金</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高端装备</w:t>
            </w:r>
            <w:r>
              <w:rPr>
                <w:rFonts w:ascii="宋体" w:eastAsia="方正仿宋简体" w:hAnsi="宋体" w:cs="方正仿宋简体" w:hint="eastAsia"/>
                <w:spacing w:val="-20"/>
                <w:sz w:val="28"/>
                <w:szCs w:val="28"/>
              </w:rPr>
              <w:t>”</w:t>
            </w:r>
            <w:r>
              <w:rPr>
                <w:rFonts w:ascii="宋体" w:eastAsia="方正仿宋简体" w:hAnsi="宋体" w:cs="方正仿宋简体" w:hint="eastAsia"/>
                <w:sz w:val="28"/>
                <w:szCs w:val="28"/>
              </w:rPr>
              <w:t>全产业链开展创新研究。</w:t>
            </w:r>
          </w:p>
          <w:p w14:paraId="5921AD35" w14:textId="77777777" w:rsidR="00080503" w:rsidRDefault="003A23BA">
            <w:pPr>
              <w:overflowPunct w:val="0"/>
              <w:spacing w:line="400" w:lineRule="exact"/>
              <w:ind w:firstLineChars="200" w:firstLine="560"/>
              <w:rPr>
                <w:rFonts w:ascii="宋体" w:eastAsia="方正仿宋简体" w:hAnsi="宋体" w:cs="方正仿宋简体"/>
                <w:strike/>
                <w:color w:val="FF0000"/>
                <w:sz w:val="28"/>
                <w:szCs w:val="28"/>
              </w:rPr>
            </w:pPr>
            <w:r>
              <w:rPr>
                <w:rFonts w:ascii="宋体" w:eastAsia="方正仿宋简体" w:hAnsi="宋体" w:cs="方正仿宋简体" w:hint="eastAsia"/>
                <w:sz w:val="28"/>
                <w:szCs w:val="28"/>
              </w:rPr>
              <w:t>北方畜禽育种创新中心。建立未来畜禽种业现代农业产业园与省农科院等科研机构的常态化对接合作机制，打造畜禽种业科研高地。</w:t>
            </w:r>
          </w:p>
          <w:p w14:paraId="24EB7130"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仿宋简体" w:hAnsi="宋体" w:cs="方正仿宋简体" w:hint="eastAsia"/>
                <w:sz w:val="28"/>
                <w:szCs w:val="28"/>
              </w:rPr>
              <w:t>鲁中综合检验检测中心。依托钢城区产业研发中心，建设综合检验检测中心、区域认定中心，通过专业检测数据支撑，推动企业改进生产工艺、优化产品设计，助力产业向高端化转型。</w:t>
            </w:r>
          </w:p>
        </w:tc>
      </w:tr>
    </w:tbl>
    <w:p w14:paraId="1E34C916"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lastRenderedPageBreak/>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建设创新人才高地</w:t>
      </w:r>
    </w:p>
    <w:p w14:paraId="1AA61AFC" w14:textId="77777777" w:rsidR="00080503" w:rsidRDefault="003A23BA">
      <w:pPr>
        <w:overflowPunct w:val="0"/>
        <w:spacing w:line="616" w:lineRule="exact"/>
        <w:ind w:firstLineChars="200" w:firstLine="640"/>
        <w:rPr>
          <w:rFonts w:ascii="宋体" w:eastAsia="仿宋_GB2312" w:hAnsi="宋体"/>
          <w:sz w:val="32"/>
          <w:szCs w:val="32"/>
        </w:rPr>
      </w:pPr>
      <w:r>
        <w:rPr>
          <w:rFonts w:ascii="宋体" w:eastAsia="方正仿宋简体" w:hAnsi="宋体" w:cs="方正仿宋简体" w:hint="eastAsia"/>
          <w:sz w:val="32"/>
          <w:szCs w:val="32"/>
        </w:rPr>
        <w:t>持续优化人才发展体制机制，构建精准引才、系统育才、用心留才全链条工作体系，推动人才结构持续优化、人才素质全面提升、人才活力充分释放，为产业转型升级、科技创新发展注入人才动能。</w:t>
      </w:r>
    </w:p>
    <w:p w14:paraId="1FB80D05"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精准引才强化队伍建设。</w:t>
      </w:r>
      <w:r>
        <w:rPr>
          <w:rFonts w:ascii="宋体" w:eastAsia="方正仿宋简体" w:hAnsi="宋体" w:cs="方正仿宋简体" w:hint="eastAsia"/>
          <w:sz w:val="32"/>
          <w:szCs w:val="32"/>
        </w:rPr>
        <w:t>实施人才招引工程，以全区经济结构转型和新质生产力培育需求为导向，构建高层次研发与技术人才精准引进体系，为区域发展注入核心动能，力争到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年人才总量突破</w:t>
      </w:r>
      <w:r>
        <w:rPr>
          <w:rFonts w:ascii="宋体" w:eastAsia="方正仿宋简体" w:hAnsi="宋体" w:cs="方正仿宋简体" w:hint="eastAsia"/>
          <w:sz w:val="32"/>
          <w:szCs w:val="32"/>
        </w:rPr>
        <w:t>6.5</w:t>
      </w:r>
      <w:r>
        <w:rPr>
          <w:rFonts w:ascii="宋体" w:eastAsia="方正仿宋简体" w:hAnsi="宋体" w:cs="方正仿宋简体" w:hint="eastAsia"/>
          <w:sz w:val="32"/>
          <w:szCs w:val="32"/>
        </w:rPr>
        <w:t>万人。重点围绕主导产业、战略性新兴产业等关键领域，靶向引进科技领军人才、卓越工程师及高技能技术人才，完善“高精尖缺”人才识别、对接、引进全链条机制，确保人才与产业发展同频共振。创新引才模式，大力支持“团队＋项目”集成式引进，重点吸纳携带核心技术、优质项目的高层次创新团队，同步壮大高水平工程师和复合型技术人才队伍，为产业升级提供坚实人才支撑。“十五五”期间，力争新培育国家级人才、泰山产业领军人才等</w:t>
      </w:r>
      <w:r>
        <w:rPr>
          <w:rFonts w:ascii="宋体" w:eastAsia="方正仿宋简体" w:hAnsi="宋体" w:cs="方正仿宋简体" w:hint="eastAsia"/>
          <w:sz w:val="32"/>
          <w:szCs w:val="32"/>
        </w:rPr>
        <w:t>5</w:t>
      </w:r>
      <w:r>
        <w:rPr>
          <w:rFonts w:ascii="宋体" w:eastAsia="方正仿宋简体" w:hAnsi="宋体" w:cs="方正仿宋简体" w:hint="eastAsia"/>
          <w:sz w:val="32"/>
          <w:szCs w:val="32"/>
        </w:rPr>
        <w:t>人以上，每年度引进、培育市级产业领军人才</w:t>
      </w:r>
      <w:r>
        <w:rPr>
          <w:rFonts w:ascii="宋体" w:eastAsia="方正仿宋简体" w:hAnsi="宋体" w:cs="方正仿宋简体" w:hint="eastAsia"/>
          <w:sz w:val="32"/>
          <w:szCs w:val="32"/>
        </w:rPr>
        <w:t>10</w:t>
      </w:r>
      <w:r>
        <w:rPr>
          <w:rFonts w:ascii="宋体" w:eastAsia="方正仿宋简体" w:hAnsi="宋体" w:cs="方正仿宋简体" w:hint="eastAsia"/>
          <w:sz w:val="32"/>
          <w:szCs w:val="32"/>
        </w:rPr>
        <w:t>人以上。</w:t>
      </w:r>
    </w:p>
    <w:p w14:paraId="7CAEA784" w14:textId="77777777" w:rsidR="00080503" w:rsidRDefault="003A23BA">
      <w:pPr>
        <w:overflowPunct w:val="0"/>
        <w:spacing w:line="616" w:lineRule="exact"/>
        <w:ind w:firstLineChars="200" w:firstLine="640"/>
        <w:outlineLvl w:val="2"/>
        <w:rPr>
          <w:rFonts w:ascii="宋体" w:eastAsia="楷体_GB2312" w:hAnsi="宋体" w:cs="宋体"/>
          <w:kern w:val="0"/>
          <w:sz w:val="32"/>
          <w:szCs w:val="32"/>
          <w:lang w:bidi="ar"/>
        </w:rPr>
      </w:pPr>
      <w:r>
        <w:rPr>
          <w:rFonts w:ascii="宋体" w:eastAsia="方正楷体简体" w:hAnsi="宋体" w:cs="方正楷体简体" w:hint="eastAsia"/>
          <w:sz w:val="32"/>
          <w:szCs w:val="32"/>
        </w:rPr>
        <w:t>系统育才赋能产业发展</w:t>
      </w:r>
      <w:r>
        <w:rPr>
          <w:rFonts w:ascii="宋体" w:eastAsia="楷体_GB2312" w:hAnsi="宋体" w:cs="宋体" w:hint="eastAsia"/>
          <w:kern w:val="0"/>
          <w:sz w:val="32"/>
          <w:szCs w:val="32"/>
          <w:lang w:bidi="ar"/>
        </w:rPr>
        <w:t>。</w:t>
      </w:r>
      <w:r>
        <w:rPr>
          <w:rFonts w:ascii="宋体" w:eastAsia="方正仿宋简体" w:hAnsi="宋体" w:cs="方正仿宋简体" w:hint="eastAsia"/>
          <w:sz w:val="32"/>
          <w:szCs w:val="32"/>
        </w:rPr>
        <w:t>注重内涵式发展，完善人才项目全生命周期管理服务、构建分层分类人才培育体系，聚焦青年科技人才成长成才，完善创新创业扶持机制，通过搭建科研实践平台、提供创业指导服务等方式，鼓励青年人才勇闯技术难关、投身创</w:t>
      </w:r>
      <w:r>
        <w:rPr>
          <w:rFonts w:ascii="宋体" w:eastAsia="方正仿宋简体" w:hAnsi="宋体" w:cs="方正仿宋简体" w:hint="eastAsia"/>
          <w:sz w:val="32"/>
          <w:szCs w:val="32"/>
        </w:rPr>
        <w:lastRenderedPageBreak/>
        <w:t>业实践，支持青年人才快速成长。推行“项目＋人才”协同培育模式，以重大科研专项、产学研用合作项目、人才创业大赛等为载体，让人才在核心项目攻关、技术成果转化中提升专业能力，培育一批具有行业影响力的领军型、骨干型人才。深化产教融合、校企合作，以企业实际需求为导向，开展定制化技能培训，重点培养更多符合产业发展需求的高技能人才。</w:t>
      </w:r>
    </w:p>
    <w:p w14:paraId="763CF8C3"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优化服务实现留才用才。</w:t>
      </w:r>
      <w:r>
        <w:rPr>
          <w:rFonts w:ascii="宋体" w:eastAsia="方正仿宋简体" w:hAnsi="宋体" w:cs="方正仿宋简体" w:hint="eastAsia"/>
          <w:sz w:val="32"/>
          <w:szCs w:val="32"/>
        </w:rPr>
        <w:t>提升综合服务能力，依托区人力资源产业园、保障性租赁住房等，在医疗健康、子女教育、住房保障等方面提供优质服务，增强人才归属感和满意度，持续擦亮“来钢城·事无忧”人才服务品牌。动态优化调整钢城人才“</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条”政策，常态化组织开展“人才政策千企培训”活动，提升人才政策触达率、知晓率。鼓励支持各类人才申报国家、省、市人才工程项目，支持高层次人才参与重大决策咨询、核心技术攻关、产学研合作等工作，赋予人才更大技术路线决定权、经费支配权、资源调度权。健全人才激励机制，完善以创新价值、能力、贡献为导向的评价体系，强化成果转化收益分配保障，充分激发人才创新创造活力。</w:t>
      </w:r>
    </w:p>
    <w:p w14:paraId="723FDBF7"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第四节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营造良好创新创业生态</w:t>
      </w:r>
    </w:p>
    <w:p w14:paraId="0AB57949"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坚持强产业、育主体、搭平台、促转化、聚要素、优环境协同发力，优化资源配置，集聚创新要素，营造良好氛围，形成创</w:t>
      </w:r>
      <w:r>
        <w:rPr>
          <w:rFonts w:ascii="宋体" w:eastAsia="方正仿宋简体" w:hAnsi="宋体" w:cs="方正仿宋简体" w:hint="eastAsia"/>
          <w:sz w:val="32"/>
          <w:szCs w:val="32"/>
        </w:rPr>
        <w:lastRenderedPageBreak/>
        <w:t>新创业生态不断优化，发展内生动力持续增强的良好态势。</w:t>
      </w:r>
    </w:p>
    <w:p w14:paraId="6F4C4AB3"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聚焦产业育强培优创新创业主体。</w:t>
      </w:r>
      <w:r>
        <w:rPr>
          <w:rFonts w:ascii="宋体" w:eastAsia="方正仿宋简体" w:hAnsi="宋体" w:cs="方正仿宋简体" w:hint="eastAsia"/>
          <w:sz w:val="32"/>
          <w:szCs w:val="32"/>
        </w:rPr>
        <w:t>立足全区先进材料、新能源装备等主导产业和新兴产业布局，聚焦产业延链补链强链需求，推动创新活动与产业发展深度绑定，让产业赛道成为创新主场。围绕激光装备、装配式建筑等，梳理产业创新需求清单，引导创新资源向产业链关键、薄弱环节集聚，以产业升级需求牵引创新方向，以创新突破赋能产业提质。持续壮大创新主体梯队，在巩固科技型中小企业、高新技术企业培育成果基础上，重点支持创新型中小企业向“专精特新”企业跃升，引导“专精特新”企业向科技领军型企业迈进，鼓励龙头企业通过技术输出、产业链协作等方式，带动配套小微企业协同创新，形成“龙头引领、梯队协同、全域联动”的创新主体格局，让各类市场主体成为创新创造的主力军。</w:t>
      </w:r>
    </w:p>
    <w:p w14:paraId="58A98DCC"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搭建平台促进创新创业成果转化。</w:t>
      </w:r>
      <w:r>
        <w:rPr>
          <w:rFonts w:ascii="宋体" w:eastAsia="方正仿宋简体" w:hAnsi="宋体" w:cs="方正仿宋简体" w:hint="eastAsia"/>
          <w:sz w:val="32"/>
          <w:szCs w:val="32"/>
        </w:rPr>
        <w:t>聚焦创新创业载体提质增效，构建“孵化器—加速器—产业园”全链条培育体系。深化校地、校企合作，共建产学研协同创新平台，推动高校科研资源向社会开放共享，支持企业与科研院所联合建设重点实验室、工程技术研究中心。立足细分产业领域打造特色鲜明的专业化创新载体集群，整合技术研发、检验检测、中试孵化等功能，为企业提供“从创意到产业化”的全周期服务。完善载体配套服务，引入创业导师团队、专业技术经理人队伍，为初创企业提供一站式孵</w:t>
      </w:r>
      <w:r>
        <w:rPr>
          <w:rFonts w:ascii="宋体" w:eastAsia="方正仿宋简体" w:hAnsi="宋体" w:cs="方正仿宋简体" w:hint="eastAsia"/>
          <w:sz w:val="32"/>
          <w:szCs w:val="32"/>
        </w:rPr>
        <w:lastRenderedPageBreak/>
        <w:t>化服务，提升载体承载能力和培育效能，打造创新创业集聚高地。</w:t>
      </w:r>
    </w:p>
    <w:p w14:paraId="71ECAF19"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汇聚要素优化创新创业发展环境。</w:t>
      </w:r>
      <w:r>
        <w:rPr>
          <w:rFonts w:ascii="宋体" w:eastAsia="方正仿宋简体" w:hAnsi="宋体" w:cs="方正仿宋简体" w:hint="eastAsia"/>
          <w:sz w:val="32"/>
          <w:szCs w:val="32"/>
        </w:rPr>
        <w:t>构建多元化要素保障体系，营造包容开放的创新氛围，让各类创新活力充分迸发。强化要素精准供给，优化财政资金使用方式，通过科技专项补助、创新券、股权直投等方式，引导社会资本加大对创新型企业、重大科技项目的投入力度。加快数据、技术等新型生产要素市场化配置，推动创新要素自由流动、高效组合。优化创新制度环境，健全容错纠错机制，为科研人员大胆探索、勇于突破提供制度保障。常态化开展创新创业大赛、项目路演、学术论坛等活动，挖掘推广优秀创新案例和人才事迹，营造崇尚创新的社会氛围。加强科研诚信和作风学风建设，完善以创新价值、能力、贡献为导向的评价体系，破除束缚创新的思想观念和体制机制障碍，让创新理念融入社会各领域，形成人人参与创新、支持创新的良好风尚。</w:t>
      </w:r>
    </w:p>
    <w:p w14:paraId="5E213156" w14:textId="77777777" w:rsidR="00080503" w:rsidRDefault="003A23BA">
      <w:pPr>
        <w:pStyle w:val="a3"/>
        <w:overflowPunct w:val="0"/>
        <w:spacing w:after="0" w:line="6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6ECCC0E5" w14:textId="77777777" w:rsidR="00080503" w:rsidRDefault="00080503">
      <w:pPr>
        <w:pStyle w:val="a3"/>
        <w:overflowPunct w:val="0"/>
        <w:spacing w:after="0" w:line="600" w:lineRule="exact"/>
        <w:jc w:val="center"/>
        <w:rPr>
          <w:rFonts w:ascii="方正小标宋简体" w:eastAsia="方正小标宋简体" w:hAnsi="宋体" w:cs="方正仿宋简体"/>
          <w:sz w:val="44"/>
          <w:szCs w:val="44"/>
        </w:rPr>
      </w:pPr>
    </w:p>
    <w:p w14:paraId="6EDF4D55" w14:textId="77777777" w:rsidR="00080503" w:rsidRDefault="003A23BA">
      <w:pPr>
        <w:pStyle w:val="a3"/>
        <w:overflowPunct w:val="0"/>
        <w:spacing w:after="0" w:line="600"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第六章  </w:t>
      </w:r>
      <w:r>
        <w:rPr>
          <w:rFonts w:ascii="方正小标宋简体" w:eastAsia="方正小标宋简体" w:hAnsi="宋体" w:cs="方正小标宋简体" w:hint="eastAsia"/>
          <w:sz w:val="44"/>
          <w:szCs w:val="44"/>
        </w:rPr>
        <w:t>深入实施扩大内需战略</w:t>
      </w:r>
    </w:p>
    <w:p w14:paraId="754BCCB5" w14:textId="77777777" w:rsidR="00080503" w:rsidRDefault="003A23BA">
      <w:pPr>
        <w:pStyle w:val="a3"/>
        <w:overflowPunct w:val="0"/>
        <w:spacing w:after="0" w:line="600"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促进消费和投资提质增效</w:t>
      </w:r>
    </w:p>
    <w:p w14:paraId="1D9B8160" w14:textId="77777777" w:rsidR="00080503" w:rsidRDefault="00080503">
      <w:pPr>
        <w:pStyle w:val="a3"/>
        <w:overflowPunct w:val="0"/>
        <w:spacing w:after="0" w:line="600" w:lineRule="exact"/>
        <w:rPr>
          <w:rFonts w:ascii="宋体" w:eastAsia="方正仿宋简体" w:hAnsi="宋体" w:cs="方正仿宋简体"/>
          <w:sz w:val="32"/>
          <w:szCs w:val="32"/>
        </w:rPr>
      </w:pPr>
    </w:p>
    <w:p w14:paraId="005C728B"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坚持惠民生和促消费、投资于物和投资于人紧密结合，深入实施内需扩容增效工程，促进消费和投资、供给和需求良性互动。</w:t>
      </w:r>
    </w:p>
    <w:p w14:paraId="0B9CFD4E"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加快推动消费提质升级</w:t>
      </w:r>
    </w:p>
    <w:p w14:paraId="19FDD637" w14:textId="77777777" w:rsidR="00080503" w:rsidRDefault="003A23BA">
      <w:pPr>
        <w:overflowPunct w:val="0"/>
        <w:spacing w:line="600" w:lineRule="exact"/>
        <w:ind w:firstLineChars="200" w:firstLine="640"/>
        <w:rPr>
          <w:rFonts w:ascii="宋体" w:eastAsia="仿宋_GB2312" w:hAnsi="宋体" w:cs="仿宋_GB2312"/>
          <w:sz w:val="32"/>
        </w:rPr>
      </w:pPr>
      <w:r>
        <w:rPr>
          <w:rFonts w:ascii="宋体" w:eastAsia="方正仿宋简体" w:hAnsi="宋体" w:cs="方正仿宋简体" w:hint="eastAsia"/>
          <w:sz w:val="32"/>
          <w:szCs w:val="32"/>
        </w:rPr>
        <w:t>坚持将消费升级与城市建设和人民美好生活需要相融合，培育多元融合的消费新业态，激活消费市场活力，释放消费增长潜力，为经济社会发展注入强劲消费动能。</w:t>
      </w:r>
    </w:p>
    <w:p w14:paraId="1804D6AC"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全面提升服务消费品质。</w:t>
      </w:r>
      <w:r>
        <w:rPr>
          <w:rFonts w:ascii="宋体" w:eastAsia="方正仿宋简体" w:hAnsi="宋体" w:cs="方正仿宋简体" w:hint="eastAsia"/>
          <w:sz w:val="32"/>
          <w:szCs w:val="32"/>
        </w:rPr>
        <w:t>以构建全周期、高品质服务供给体系为目标，重点围绕文体旅游、居住服务、银发经济、养老托幼、家政服务五大领域协同发展，全面提升服务消费品质。创新文体旅游消费，培育“山东手造”与非遗消费，打造围棋赛、齐鲁赛车英雄会等体育赛事品牌。提振居住服务消费，稳妥推进城中村改造，健全住房保障体系，提升物业服务，构建“安居优居”的住房消费环境。发展银发经济，招引康养疗养企业，建设智慧养老院与老年友好社区，拓展银发消费新场景。优化养老托幼服务，构建居家社区养老服务网络，增加护理型床位，建设普惠托育机构，实现“老有颐养、幼有善育”。提升家政服务品质，举办现代家政产业对接会，促进家政与育幼、养老融合，依托校地合作</w:t>
      </w:r>
      <w:r>
        <w:rPr>
          <w:rFonts w:ascii="宋体" w:eastAsia="方正仿宋简体" w:hAnsi="宋体" w:cs="方正仿宋简体" w:hint="eastAsia"/>
          <w:sz w:val="32"/>
          <w:szCs w:val="32"/>
        </w:rPr>
        <w:lastRenderedPageBreak/>
        <w:t>基地强化专业人才培训。</w:t>
      </w:r>
    </w:p>
    <w:p w14:paraId="5CC364B2"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完善优化消费载体。</w:t>
      </w:r>
      <w:r>
        <w:rPr>
          <w:rFonts w:ascii="宋体" w:eastAsia="方正仿宋简体" w:hAnsi="宋体" w:cs="方正仿宋简体" w:hint="eastAsia"/>
          <w:sz w:val="32"/>
          <w:szCs w:val="32"/>
        </w:rPr>
        <w:t>优化消费空间布局，构建全域联动、特色鲜明现代消费体系。谋划建设智慧钢铁商贸中心，通过平台化与数字化手段，打造集交易、加工、物流、金融等功能于一体的钢铁产业综合服务载体。大力推进新发地（山东）农产品智慧供应链基地落地实施，构建智慧交易、冷链物流、加工配送与全程溯源的现代化农产品流通枢纽。串联大汶河沿线消费，依托广场、街区，结合生态水库、乡村示范区，发展农文旅融合体验消费，培育地方特色美食餐饮集群，结合文体商旅活动丰富消费场景，打造康养休闲目的地。推动现有商圈转型升级，优化商业配套，增设公共休闲空间，构建“商业＋商务＋休闲”一体化服务体系，全面提升消费环境舒适度与吸引力，强化核心商圈区域辐射与服务功能。在城市更新、高铁新城等片区科学规划布局集购物、餐饮、文化、娱乐于一体的商业综合体，合理配置智慧菜市场、连锁便利店等生活服务设施，加快构建层次分明、覆盖广泛、便捷高效的社区商业服务网络，有效满足居民多元化、高品质生活需求，全面增强城市消费活力与生活品质。优化农村商业网络布局，推动乡镇商贸中心、集贸市场、农村新型便民商店进行标准化、连锁化升级，丰富服务供给，提升商品品质，全面激发乡村消费潜力，助力城乡市场双向流通与融合发展。</w:t>
      </w:r>
    </w:p>
    <w:p w14:paraId="56A9B2E7"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打造消费新业态新模式新场景。</w:t>
      </w:r>
      <w:r>
        <w:rPr>
          <w:rFonts w:ascii="宋体" w:eastAsia="方正仿宋简体" w:hAnsi="宋体" w:cs="方正仿宋简体" w:hint="eastAsia"/>
          <w:sz w:val="32"/>
          <w:szCs w:val="32"/>
        </w:rPr>
        <w:t>全面创新消费业态、模式、</w:t>
      </w:r>
      <w:r>
        <w:rPr>
          <w:rFonts w:ascii="宋体" w:eastAsia="方正仿宋简体" w:hAnsi="宋体" w:cs="方正仿宋简体" w:hint="eastAsia"/>
          <w:sz w:val="32"/>
          <w:szCs w:val="32"/>
        </w:rPr>
        <w:lastRenderedPageBreak/>
        <w:t>场景，坚持推动传统消费提质扩容与新型消费加快发展，塑造“钢城品质消费”新品牌。支持餐饮、零售等传统行业创新模式，提升服务品质与运营效率。积极引进区域首店、品牌旗舰店及特色概念店，大力发展沉浸式体验、主题式消费等新兴业态，培育数字消费、绿色消费、健康消费等新增长点，系统性打造多元化、沉浸式消费体验集群，鼓励发展智能潮玩、数字文创等前沿消费业态。依托产业研发中心及科创中心，构建高能级消费服务核心，集聚创客中心、孵化基地等功能，配套引入高端酒店、商务餐饮、精品超市、时尚零售、健身娱乐等商务业态，服务创新创业，打造高品质的都市消费场景。深化商旅文体健产业融合，依托山水生态、红色文化、军工遗址、非遗资源与现代农业，打造“九龙十八弯”、“登棋山观光＋品钢城炒鸡”等多个集观光、研学、采摘、美食、休闲于一体的“三新”消费品牌。</w:t>
      </w:r>
    </w:p>
    <w:p w14:paraId="3B296150"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营造优质放心消费环境。</w:t>
      </w:r>
      <w:r>
        <w:rPr>
          <w:rFonts w:ascii="宋体" w:eastAsia="方正仿宋简体" w:hAnsi="宋体" w:cs="方正仿宋简体" w:hint="eastAsia"/>
          <w:sz w:val="32"/>
          <w:szCs w:val="32"/>
        </w:rPr>
        <w:t>推进“放心消费在钢城”提质扩面，开展放心消费单元和放心消费集聚区建设，健全培育、评价、退出动态管理机制，打造区域消费品牌。加大“诚信经营、放心消费”承诺商家培育力度，提高消费服务质量。推动商家入驻济南“预付宝”平台，破解预付式消费维权难题。组织消费体验体察、消费知识宣教工作，引导消费者科学消费、依法维权。发挥行业协会作用，加强市场主体信用信息应用，畅通投诉举报途径，不断完善政府主导、行业自律、企业自治、社会监督的消费环境建</w:t>
      </w:r>
      <w:r>
        <w:rPr>
          <w:rFonts w:ascii="宋体" w:eastAsia="方正仿宋简体" w:hAnsi="宋体" w:cs="方正仿宋简体" w:hint="eastAsia"/>
          <w:sz w:val="32"/>
          <w:szCs w:val="32"/>
        </w:rPr>
        <w:lastRenderedPageBreak/>
        <w:t>设体系。</w:t>
      </w:r>
    </w:p>
    <w:p w14:paraId="0A237047" w14:textId="77777777" w:rsidR="00080503" w:rsidRDefault="003A23BA">
      <w:pPr>
        <w:pStyle w:val="a3"/>
        <w:overflowPunct w:val="0"/>
        <w:spacing w:before="240" w:line="600" w:lineRule="exact"/>
        <w:jc w:val="center"/>
        <w:rPr>
          <w:rFonts w:ascii="黑体" w:eastAsia="黑体" w:hAnsi="黑体" w:cs="黑体"/>
          <w:kern w:val="44"/>
          <w:sz w:val="32"/>
          <w:szCs w:val="48"/>
          <w:lang w:bidi="ar"/>
        </w:rPr>
      </w:pPr>
      <w:r>
        <w:rPr>
          <w:rFonts w:ascii="黑体" w:eastAsia="黑体" w:hAnsi="黑体" w:cs="黑体" w:hint="eastAsia"/>
          <w:kern w:val="44"/>
          <w:sz w:val="32"/>
          <w:szCs w:val="48"/>
          <w:lang w:bidi="ar"/>
        </w:rPr>
        <w:t xml:space="preserve">第二节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着力扩大有效投资</w:t>
      </w:r>
    </w:p>
    <w:p w14:paraId="6CCC50AA" w14:textId="77777777" w:rsidR="00080503" w:rsidRDefault="003A23BA">
      <w:pPr>
        <w:overflowPunct w:val="0"/>
        <w:spacing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坚持把投资作为推动经济高质量发展的关键抓手，优化“投资于物”结构，加大“投资于人”力度，统筹用好各类投资，强化项目招引，优化项目服务，切实提高投资质效。</w:t>
      </w:r>
    </w:p>
    <w:p w14:paraId="20057944"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统筹推进投资提质扩量。</w:t>
      </w:r>
      <w:r>
        <w:rPr>
          <w:rFonts w:ascii="宋体" w:eastAsia="方正仿宋简体" w:hAnsi="宋体" w:cs="方正仿宋简体" w:hint="eastAsia"/>
          <w:sz w:val="32"/>
          <w:szCs w:val="32"/>
        </w:rPr>
        <w:t>坚持把项目建设作为推动投资工作的主抓手，落实完善项目引建会、项目协调会、领导包挂等推进机制，形成“以项目促发展、以发展引项目”的良性循环，为高质量发展注入持久动力。充分发挥政府投资牵引带动作用，坚持条块结合、上下联动、横向协同，紧扣国家重大战略实施和重点领域安全能力建设，聚焦产业绿色低碳转型、乡村振兴、民生改善、安全能力等领域，精准谋划实施一批打基础、利长远、促转型的重大项目，持续做大投资总量。围绕主导产业链加强产业项目谋划，推动企业“老树发新枝”焕发新活力，加快企业设备更新和技术改造，加大高技术制造业和战略性新兴产业投资。加大产业载体、园区等创新创业平台投资，加快山钢高端智造产业园等载体建设。提高民生类政府投资比重，引导更多资金投向教育医疗、养老托育、人力资源开发等领域。大力实施城市更新，完善交通、能源、水利、数字等基础设施建设，适度超前布局新型基础设施，以高质量项目投资赋能经济社会高质量发展。</w:t>
      </w:r>
    </w:p>
    <w:p w14:paraId="1A76889A"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坚持政府投资和民间投资协同。</w:t>
      </w:r>
      <w:r>
        <w:rPr>
          <w:rFonts w:ascii="宋体" w:eastAsia="方正仿宋简体" w:hAnsi="宋体" w:cs="方正仿宋简体" w:hint="eastAsia"/>
          <w:sz w:val="32"/>
          <w:szCs w:val="32"/>
        </w:rPr>
        <w:t>落实投资审批制度改革举</w:t>
      </w:r>
      <w:r>
        <w:rPr>
          <w:rFonts w:ascii="宋体" w:eastAsia="方正仿宋简体" w:hAnsi="宋体" w:cs="方正仿宋简体" w:hint="eastAsia"/>
          <w:sz w:val="32"/>
          <w:szCs w:val="32"/>
        </w:rPr>
        <w:lastRenderedPageBreak/>
        <w:t>措，引导规范政府投资行为，加强政府投资全过程管理，强化必要性可行性论证、投资概算约束和事中事后监管，避免过度超前建设和低效无效投资，提升政府投资效益。统筹区本级财政资金以及中央预算内投资、超长期特别国债、地方政府专项债等政策性资金的争取、使用和管理，探索编制全口径政府投资计划。探索建立民营企业参与重大项目建设长效机制，谋划建立区级重点民间投资项目库，储备一批符合投向、代表性强、示范性好的高质量民间投资项目，鼓励支持民营企业参与公用事业等领域项目，充分激发民间投资活力。</w:t>
      </w:r>
    </w:p>
    <w:p w14:paraId="7AA41536"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强化项目推进服务保障。</w:t>
      </w:r>
      <w:r>
        <w:rPr>
          <w:rFonts w:ascii="宋体" w:eastAsia="方正仿宋简体" w:hAnsi="宋体" w:cs="方正仿宋简体" w:hint="eastAsia"/>
          <w:sz w:val="32"/>
          <w:szCs w:val="32"/>
        </w:rPr>
        <w:t>坚持项目落地目标导向，持续完善项目“全生命周期服务推进＋动态储备”长效机制，聚焦项目审批、落地、投产全链条，优化跟进项目服务，推动项目加快落地建设，及早投产达效。强化项目前期论证，全面细化可行性分析，切实提升项目研判的科学化水平。强化土地要素保障，优化征地、供地等关键环节，统筹新增建设用地指标，保障重点项目新增建设用地需求。强化煤耗、能耗、碳排放保障，用好用足相关政策，合理保障新上项目需求。常态化组织开展政银企对接活动，深化投贷联动合作，用好保险资金、投资基金等金融工具，切实帮助企业解决融资难、融资贵等堵点痛点问题。</w:t>
      </w:r>
    </w:p>
    <w:p w14:paraId="5F28FEC3" w14:textId="77777777" w:rsidR="00080503" w:rsidRDefault="003A23BA">
      <w:pPr>
        <w:overflowPunct w:val="0"/>
        <w:spacing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加大招商引资力度。</w:t>
      </w:r>
      <w:r>
        <w:rPr>
          <w:rFonts w:ascii="宋体" w:eastAsia="方正仿宋简体" w:hAnsi="宋体" w:cs="方正仿宋简体" w:hint="eastAsia"/>
          <w:sz w:val="32"/>
          <w:szCs w:val="32"/>
        </w:rPr>
        <w:t>围绕做强主导产业，推进链式招商。聚焦主导产业，细分重点招引领域，联合区内龙头企业、“链主”</w:t>
      </w:r>
      <w:r>
        <w:rPr>
          <w:rFonts w:ascii="宋体" w:eastAsia="方正仿宋简体" w:hAnsi="宋体" w:cs="方正仿宋简体" w:hint="eastAsia"/>
          <w:sz w:val="32"/>
          <w:szCs w:val="32"/>
        </w:rPr>
        <w:lastRenderedPageBreak/>
        <w:t>企业开展产业链招商，推进延链补链强链，不断完善产业生态。围绕“老树发新枝”，瞄准区内规上工业企业，分区域、分产业进行梳理，挖潜合作方向。围绕“源头活水”，瞄准产业链头部企业，紧盯央企省企、行业领军企业、独角兽企业、瞪羚企业、专精特新等，建立重点企业库，强化产业项目谋划，开展敲门招商，积极引进一批投资体量大、技术含量高、带动能力强的重大项目、优质项目。</w:t>
      </w:r>
    </w:p>
    <w:p w14:paraId="491F5AA9" w14:textId="77777777" w:rsidR="00080503" w:rsidRDefault="003A23BA">
      <w:pPr>
        <w:overflowPunct w:val="0"/>
        <w:spacing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围绕发展新兴产业，推进精准招商。聚焦产业发展趋势，强化本地企业服务配套，精准招引谋划新兴产业项目。招引绿电直连、制氢、储氢、氢冶金、储能等新能源类（绿氢、绿电）项目；打造机器人核心部件产业园，引进伺服电机、智能传感器等企业，重点突破机器人专用线束、传感器、智能控制器等关键零部件的研发与产业化，逐步拓展物流、焊接、特种作业等工业机器人制造。充分利用固废资源，招引循环经济类项目。</w:t>
      </w:r>
    </w:p>
    <w:p w14:paraId="7CAD81FB"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围绕提升招引质效，推进全要素招商。强化协同招商，加强与省、市产业部门、国企、科研院所及商协会等主体的产业协同，依托工业场景优势引进合作项目。扩大招商朋友圈，讲好钢城故事，拓宽招商渠道。推进园区载体招商，利用未来畜禽种业现代农业产业园等优质载体，引进优质产业项目，构建园区与企业风险共担、利益共享的长效合作机制。探索资本招商，与头部创投机构合作，搭建“基金＋园区＋孵化”平台，为入驻企业提供融</w:t>
      </w:r>
      <w:r>
        <w:rPr>
          <w:rFonts w:ascii="宋体" w:eastAsia="方正仿宋简体" w:hAnsi="宋体" w:cs="方正仿宋简体" w:hint="eastAsia"/>
          <w:sz w:val="32"/>
          <w:szCs w:val="32"/>
        </w:rPr>
        <w:lastRenderedPageBreak/>
        <w:t>资支持、技术孵化与市场对接服务，实现“招商＋育商”一体化。</w:t>
      </w:r>
    </w:p>
    <w:p w14:paraId="7D9EF7A8"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强化基础设施支撑作用</w:t>
      </w:r>
    </w:p>
    <w:p w14:paraId="03996471" w14:textId="77777777" w:rsidR="00080503" w:rsidRDefault="003A23BA">
      <w:pPr>
        <w:overflowPunct w:val="0"/>
        <w:spacing w:line="600" w:lineRule="exact"/>
        <w:ind w:firstLineChars="200" w:firstLine="640"/>
        <w:rPr>
          <w:rFonts w:ascii="宋体" w:eastAsia="仿宋_GB2312" w:hAnsi="宋体" w:cs="仿宋_GB2312"/>
          <w:sz w:val="32"/>
          <w:szCs w:val="21"/>
        </w:rPr>
      </w:pPr>
      <w:r>
        <w:rPr>
          <w:rFonts w:ascii="宋体" w:eastAsia="方正仿宋简体" w:hAnsi="宋体" w:cs="方正仿宋简体" w:hint="eastAsia"/>
          <w:sz w:val="32"/>
          <w:szCs w:val="32"/>
        </w:rPr>
        <w:t>加快交通基础设施统筹规划，优化功能布局，强化衔接联动，构建城乡贯通、安全顺畅、便捷高效的全域综合交通网络。</w:t>
      </w:r>
    </w:p>
    <w:p w14:paraId="16B7B3CD" w14:textId="77777777" w:rsidR="00080503" w:rsidRDefault="003A23BA">
      <w:pPr>
        <w:overflowPunct w:val="0"/>
        <w:spacing w:after="240" w:line="60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不断完善综合交通体系。</w:t>
      </w:r>
      <w:r>
        <w:rPr>
          <w:rFonts w:ascii="宋体" w:eastAsia="方正仿宋简体" w:hAnsi="宋体" w:cs="方正仿宋简体" w:hint="eastAsia"/>
          <w:sz w:val="32"/>
          <w:szCs w:val="32"/>
        </w:rPr>
        <w:t>深度融入济南都市圈一体化发展格局，全面提升对外互联互通能级，持续强化与周边县区的快速通达能力，开展</w:t>
      </w:r>
      <w:r>
        <w:rPr>
          <w:rFonts w:ascii="宋体" w:eastAsia="方正仿宋简体" w:hAnsi="宋体" w:cs="方正仿宋简体" w:hint="eastAsia"/>
          <w:sz w:val="32"/>
          <w:szCs w:val="32"/>
        </w:rPr>
        <w:t>G341</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S234</w:t>
      </w:r>
      <w:r>
        <w:rPr>
          <w:rFonts w:ascii="宋体" w:eastAsia="方正仿宋简体" w:hAnsi="宋体" w:cs="方正仿宋简体" w:hint="eastAsia"/>
          <w:sz w:val="32"/>
          <w:szCs w:val="32"/>
        </w:rPr>
        <w:t>等重点项目前期论证研究，积极协调</w:t>
      </w:r>
      <w:r>
        <w:rPr>
          <w:rFonts w:ascii="宋体" w:eastAsia="方正仿宋简体" w:hAnsi="宋体" w:cs="方正仿宋简体" w:hint="eastAsia"/>
          <w:sz w:val="32"/>
          <w:szCs w:val="32"/>
        </w:rPr>
        <w:t>G205</w:t>
      </w:r>
      <w:r>
        <w:rPr>
          <w:rFonts w:ascii="宋体" w:eastAsia="方正仿宋简体" w:hAnsi="宋体" w:cs="方正仿宋简体" w:hint="eastAsia"/>
          <w:sz w:val="32"/>
          <w:szCs w:val="32"/>
        </w:rPr>
        <w:t>改线等重大工程项目启动实施，全力推进钢城新东外环项目建设。持续优化城区内部交通通道网络，完善高铁片区场站功能配套与规划布局，适时启动高铁综合客运枢纽及周边配套路网工程落地建设，打造高效换乘、内外衔接的现代化综合客运枢纽。锚定全国“四好农村路”示范县创建目标，加快农村路网提档升级进程，因地制宜探索智慧交通发展新路径、新模式，不断提升全域公交服务质效。持续深化客货邮融合发展，从严抓实路产路权保护与路域环境综合治理，全力筑牢经济发展交通支撑保障。</w:t>
      </w: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929"/>
      </w:tblGrid>
      <w:tr w:rsidR="00080503" w14:paraId="5C5F9339" w14:textId="77777777">
        <w:trPr>
          <w:trHeight w:val="680"/>
          <w:jc w:val="center"/>
        </w:trPr>
        <w:tc>
          <w:tcPr>
            <w:tcW w:w="8929" w:type="dxa"/>
            <w:vAlign w:val="center"/>
          </w:tcPr>
          <w:p w14:paraId="1B8D8EC7" w14:textId="77777777" w:rsidR="00080503" w:rsidRDefault="003A23BA">
            <w:pPr>
              <w:overflowPunct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rPr>
              <w:t>专栏</w:t>
            </w:r>
            <w:r>
              <w:rPr>
                <w:rFonts w:ascii="宋体" w:eastAsia="黑体" w:hAnsi="宋体" w:cs="黑体" w:hint="eastAsia"/>
                <w:sz w:val="28"/>
                <w:szCs w:val="28"/>
              </w:rPr>
              <w:t xml:space="preserve">6  </w:t>
            </w:r>
            <w:r>
              <w:rPr>
                <w:rFonts w:ascii="宋体" w:eastAsia="黑体" w:hAnsi="宋体" w:cs="黑体" w:hint="eastAsia"/>
                <w:sz w:val="28"/>
                <w:szCs w:val="28"/>
              </w:rPr>
              <w:t>综合交通领域重点项目</w:t>
            </w:r>
          </w:p>
        </w:tc>
      </w:tr>
      <w:tr w:rsidR="00080503" w14:paraId="7DDFC7C3" w14:textId="77777777">
        <w:trPr>
          <w:trHeight w:val="1408"/>
          <w:jc w:val="center"/>
        </w:trPr>
        <w:tc>
          <w:tcPr>
            <w:tcW w:w="8929" w:type="dxa"/>
            <w:vAlign w:val="center"/>
          </w:tcPr>
          <w:p w14:paraId="488BE36C"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仿宋简体" w:hAnsi="宋体" w:cs="方正仿宋简体" w:hint="eastAsia"/>
                <w:sz w:val="28"/>
                <w:szCs w:val="28"/>
              </w:rPr>
              <w:t>莱临铁路建设项目、钢城新东外环建设项目、鲁中交通一体化枢纽项目、钢城区高铁综合客运枢纽及配套道路项目、“四好农村路”全国示范县创建项目、农村公路提质项目。</w:t>
            </w:r>
          </w:p>
        </w:tc>
      </w:tr>
    </w:tbl>
    <w:p w14:paraId="2B9D3248"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加快构建现代水网体系。</w:t>
      </w:r>
      <w:r>
        <w:rPr>
          <w:rFonts w:ascii="宋体" w:eastAsia="方正仿宋简体" w:hAnsi="宋体" w:cs="方正仿宋简体" w:hint="eastAsia"/>
          <w:sz w:val="32"/>
          <w:szCs w:val="32"/>
        </w:rPr>
        <w:t>坚持以水而定、量水而行、优水优用、适水发展，统筹推进客水入钢城、莱芜钢城水源连通工程，</w:t>
      </w:r>
      <w:r>
        <w:rPr>
          <w:rFonts w:ascii="宋体" w:eastAsia="方正仿宋简体" w:hAnsi="宋体" w:cs="方正仿宋简体" w:hint="eastAsia"/>
          <w:sz w:val="32"/>
          <w:szCs w:val="32"/>
        </w:rPr>
        <w:lastRenderedPageBreak/>
        <w:t>着力构建水源互备互用、水网互联互通、水厂多点互补的水资源优化配置体系。深入实施节约用水专项行动，严格落实用水总量和强度双控制度，推动工业领域节水减排、农业领域节水增效、城镇区域节水降损，确保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年全区用水总量控制在省级核定指标范围内。严守泉水保护生态红线，</w:t>
      </w:r>
      <w:bookmarkStart w:id="94" w:name="OLE_LINK14"/>
      <w:r>
        <w:rPr>
          <w:rFonts w:ascii="宋体" w:eastAsia="方正仿宋简体" w:hAnsi="宋体" w:cs="方正仿宋简体" w:hint="eastAsia"/>
          <w:sz w:val="32"/>
          <w:szCs w:val="32"/>
        </w:rPr>
        <w:t>强化泉水补给区与汇集出露区建设管控</w:t>
      </w:r>
      <w:bookmarkEnd w:id="94"/>
      <w:r>
        <w:rPr>
          <w:rFonts w:ascii="宋体" w:eastAsia="方正仿宋简体" w:hAnsi="宋体" w:cs="方正仿宋简体" w:hint="eastAsia"/>
          <w:sz w:val="32"/>
          <w:szCs w:val="32"/>
        </w:rPr>
        <w:t>，深化泉池周边环境整治与保护，精心打造特色泉水景观。全面深化河湖长制，巩固大汶河等重点河道治理成效，持续推进村级河道治理提升。加快防汛除涝能力建设，常态化开展河道、水库、塘坝安全整治及修复养护，筑牢水旱灾害防御安全底线。加快北田水厂建设进程，实施供水保障提升改造、老旧小区供水管网更新改造项目，构建全域“供水一张网”格局。聚焦城乡结合部污水收集空白区域，推进钢城区第二污水处理厂提标改造，有序实施雨污合流管网整治及污水管网延伸工程。开展老旧污水管网改造提升，推行污水运维市场化运营模式，加快智慧排水系统建设，全面提升水务管理现代化水平。</w:t>
      </w:r>
    </w:p>
    <w:p w14:paraId="73A41447"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全面推进数智钢城建设。</w:t>
      </w:r>
      <w:r>
        <w:rPr>
          <w:rFonts w:ascii="宋体" w:eastAsia="方正仿宋简体" w:hAnsi="宋体" w:cs="方正仿宋简体" w:hint="eastAsia"/>
          <w:sz w:val="32"/>
          <w:szCs w:val="32"/>
        </w:rPr>
        <w:t>建设普惠便捷的数智化社会服务生态。开展公共服务数智提升行动，聚焦教育、健康、养老、就业等重点领域推进智能化服务，推进智慧校园、智慧医院、智慧养老院建设，构建智慧生活新场景。加快推进城市安全风险监测感知网络建设，推动燃气热力、供水排水等监管平台全面联网、一体推进，不断提升城市安全运行智慧化水平。构建基层智治体系，</w:t>
      </w:r>
      <w:r>
        <w:rPr>
          <w:rFonts w:ascii="宋体" w:eastAsia="方正仿宋简体" w:hAnsi="宋体" w:cs="方正仿宋简体" w:hint="eastAsia"/>
          <w:sz w:val="32"/>
          <w:szCs w:val="32"/>
        </w:rPr>
        <w:lastRenderedPageBreak/>
        <w:t>加强社会综合治理数字化系统、数据的深度整合共享和高效协同，推动</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社工、数字街区等数字服务场景建设，提高基层治理的预见性、精准性。</w:t>
      </w:r>
    </w:p>
    <w:p w14:paraId="1D806027"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构建高效协同的数智化政府运行模式。优化“数智惠民”服务体验，以便民利企为导向，拓展政务服务平台功能，深化“爱山东”钢城分厅应用，推动更多民生事项“网上办”、“指尖办”。深化数智会务、智慧公文、机关内部“一次办成”平台推广应用，构建系统集约数智机关，提升机关运转效率和服务水平。提升城市数智化治理效能，构建“一网统管”体系，提升对城市运行态势的感知、监测、预警和处置能力。</w:t>
      </w:r>
    </w:p>
    <w:p w14:paraId="37F826A1"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夯实新型数智基础设施根基。升级城市网络基础设施，推动千兆光网优化升级，强化</w:t>
      </w:r>
      <w:r>
        <w:rPr>
          <w:rFonts w:ascii="宋体" w:eastAsia="方正仿宋简体" w:hAnsi="宋体" w:cs="方正仿宋简体" w:hint="eastAsia"/>
          <w:sz w:val="32"/>
          <w:szCs w:val="32"/>
        </w:rPr>
        <w:t>5G</w:t>
      </w:r>
      <w:r>
        <w:rPr>
          <w:rFonts w:ascii="宋体" w:eastAsia="方正仿宋简体" w:hAnsi="宋体" w:cs="方正仿宋简体" w:hint="eastAsia"/>
          <w:sz w:val="32"/>
          <w:szCs w:val="32"/>
        </w:rPr>
        <w:t>网络深度覆盖。构建全域数据资源体系，动态更新数据资源目录，形成数据资源“一本账”。持续优化一体化大数据平台功能，高质量建设数据库，提升数据融合、物联感知、智能分析能力，构建智能运行中枢。深化数据要素赋能应用，打造一批数据要素典型应用场景。提升数据与网络安全防护能力，建立健全数据分类分级保护制度，实施网络安全等级保护，构建多层次、立体化安全防护体系。</w:t>
      </w:r>
    </w:p>
    <w:p w14:paraId="1551905B" w14:textId="77777777" w:rsidR="00080503" w:rsidRDefault="003A23BA">
      <w:pPr>
        <w:pStyle w:val="a3"/>
        <w:overflowPunct w:val="0"/>
        <w:spacing w:after="0" w:line="600" w:lineRule="exact"/>
        <w:rPr>
          <w:rFonts w:ascii="宋体" w:eastAsia="方正仿宋简体" w:hAnsi="宋体" w:cs="方正仿宋简体"/>
          <w:sz w:val="32"/>
          <w:szCs w:val="32"/>
        </w:rPr>
      </w:pPr>
      <w:r>
        <w:rPr>
          <w:rFonts w:ascii="宋体" w:eastAsia="方正仿宋简体" w:hAnsi="宋体" w:cs="方正仿宋简体"/>
          <w:sz w:val="32"/>
          <w:szCs w:val="32"/>
        </w:rPr>
        <w:br w:type="page"/>
      </w:r>
    </w:p>
    <w:p w14:paraId="088FC813" w14:textId="77777777" w:rsidR="00080503" w:rsidRDefault="00080503">
      <w:pPr>
        <w:pStyle w:val="a3"/>
        <w:overflowPunct w:val="0"/>
        <w:spacing w:after="0" w:line="600" w:lineRule="exact"/>
        <w:jc w:val="center"/>
        <w:rPr>
          <w:rFonts w:ascii="方正小标宋简体" w:eastAsia="方正小标宋简体" w:hAnsi="宋体" w:cs="方正仿宋简体"/>
          <w:sz w:val="44"/>
          <w:szCs w:val="44"/>
        </w:rPr>
      </w:pPr>
    </w:p>
    <w:p w14:paraId="25E7C734" w14:textId="77777777" w:rsidR="00080503" w:rsidRDefault="003A23BA">
      <w:pPr>
        <w:pStyle w:val="a3"/>
        <w:overflowPunct w:val="0"/>
        <w:spacing w:after="0" w:line="600"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第七章  </w:t>
      </w:r>
      <w:r>
        <w:rPr>
          <w:rFonts w:ascii="方正小标宋简体" w:eastAsia="方正小标宋简体" w:hAnsi="宋体" w:cs="方正小标宋简体" w:hint="eastAsia"/>
          <w:sz w:val="44"/>
          <w:szCs w:val="44"/>
        </w:rPr>
        <w:t>进一步全面深化改革开放</w:t>
      </w:r>
    </w:p>
    <w:p w14:paraId="00344B30" w14:textId="77777777" w:rsidR="00080503" w:rsidRDefault="003A23BA">
      <w:pPr>
        <w:pStyle w:val="a3"/>
        <w:overflowPunct w:val="0"/>
        <w:spacing w:after="0" w:line="600" w:lineRule="exact"/>
        <w:jc w:val="center"/>
        <w:rPr>
          <w:rFonts w:ascii="方正小标宋简体" w:eastAsia="方正小标宋简体" w:hAnsi="宋体" w:cs="方正小标宋简体"/>
          <w:sz w:val="44"/>
          <w:szCs w:val="44"/>
        </w:rPr>
      </w:pPr>
      <w:r>
        <w:rPr>
          <w:rFonts w:ascii="方正小标宋简体" w:eastAsia="方正小标宋简体" w:hAnsi="宋体" w:cs="方正小标宋简体" w:hint="eastAsia"/>
          <w:sz w:val="44"/>
          <w:szCs w:val="44"/>
        </w:rPr>
        <w:t>持续增强发展动力</w:t>
      </w:r>
    </w:p>
    <w:p w14:paraId="724A0E5B" w14:textId="77777777" w:rsidR="00080503" w:rsidRDefault="00080503">
      <w:pPr>
        <w:pStyle w:val="a3"/>
        <w:overflowPunct w:val="0"/>
        <w:spacing w:after="0" w:line="600" w:lineRule="exact"/>
        <w:jc w:val="center"/>
        <w:rPr>
          <w:rFonts w:ascii="方正小标宋简体" w:eastAsia="方正小标宋简体" w:hAnsi="宋体" w:cs="方正小标宋简体"/>
          <w:sz w:val="44"/>
          <w:szCs w:val="44"/>
        </w:rPr>
      </w:pPr>
    </w:p>
    <w:p w14:paraId="53F158C3" w14:textId="77777777" w:rsidR="00080503" w:rsidRDefault="003A23BA">
      <w:pPr>
        <w:pStyle w:val="a3"/>
        <w:overflowPunct w:val="0"/>
        <w:spacing w:after="0"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向改革要动力、向开放要活力，深入实施市场活力和开放能级提升工程，以深层次改革破除体制机制障碍，以高水平开放拓展发展空间，着力营造市场化、法治化一流营商环境，充分激发各类市场主体内生动力和创新活力。</w:t>
      </w:r>
    </w:p>
    <w:p w14:paraId="17732AB3"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加快服务和融入全国统一大市场</w:t>
      </w:r>
    </w:p>
    <w:p w14:paraId="1DF8076F" w14:textId="77777777" w:rsidR="00080503" w:rsidRDefault="003A23BA">
      <w:pPr>
        <w:overflowPunct w:val="0"/>
        <w:spacing w:line="616" w:lineRule="exact"/>
        <w:ind w:firstLineChars="200" w:firstLine="640"/>
        <w:rPr>
          <w:rFonts w:ascii="宋体" w:eastAsia="仿宋_GB2312" w:hAnsi="宋体" w:cs="Times New Roman"/>
          <w:sz w:val="32"/>
        </w:rPr>
      </w:pPr>
      <w:r>
        <w:rPr>
          <w:rFonts w:ascii="宋体" w:eastAsia="方正仿宋简体" w:hAnsi="宋体" w:cs="方正仿宋简体" w:hint="eastAsia"/>
          <w:sz w:val="32"/>
          <w:szCs w:val="32"/>
        </w:rPr>
        <w:t>围绕构建高效规范、公平竞争的国内统一大市场，全面破除制度性壁垒，推进要素市场化配置改革，着力营造公平透明可预期的市场环境。</w:t>
      </w:r>
    </w:p>
    <w:p w14:paraId="5A19BDB8"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建设高标准市场体系。</w:t>
      </w:r>
      <w:r>
        <w:rPr>
          <w:rFonts w:ascii="宋体" w:eastAsia="方正仿宋简体" w:hAnsi="宋体" w:cs="方正仿宋简体" w:hint="eastAsia"/>
          <w:sz w:val="32"/>
          <w:szCs w:val="32"/>
        </w:rPr>
        <w:t>全面落实公平竞争审查制度和市场准入负面清单制度，常态化开展反垄断和反不正当竞争执法，系统清理废除妨碍统一市场和公平竞争的各类显性、隐性壁垒。落实落细国家各项减税降费政策，严格执行统一的税收优惠政策和标准，切实减轻市场主体负担，营造公平透明的营商环境。定期排查公共资源交易领域政策文件和示范文本，对存在所有制歧视、行业壁垒、地方保护等不合理限制的按规定权限和程序予以修订、废止。积极建设知识产权高价值产业集群，持续优化知识产</w:t>
      </w:r>
      <w:r>
        <w:rPr>
          <w:rFonts w:ascii="宋体" w:eastAsia="方正仿宋简体" w:hAnsi="宋体" w:cs="方正仿宋简体" w:hint="eastAsia"/>
          <w:sz w:val="32"/>
          <w:szCs w:val="32"/>
        </w:rPr>
        <w:lastRenderedPageBreak/>
        <w:t>权发展生态。落实市场信息披露、商业秘密保护、企业破产退出等制度。</w:t>
      </w:r>
    </w:p>
    <w:p w14:paraId="6CBB9DEC"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创新要素市场化配置方式。</w:t>
      </w:r>
      <w:r>
        <w:rPr>
          <w:rFonts w:ascii="宋体" w:eastAsia="方正仿宋简体" w:hAnsi="宋体" w:cs="方正仿宋简体" w:hint="eastAsia"/>
          <w:sz w:val="32"/>
          <w:szCs w:val="32"/>
        </w:rPr>
        <w:t>促进各类要素资源畅通流动、高效配置，建立生产要素向新质生产力集聚机制。建立健全城乡统一的建设用地市场，深化“亩产效益”综合评价改革。启动国有“三资”清查处置与管理改革，全面摸清存量底数，推进行政事业单位存量国有资产盘活共享，优化资产负债结构，提升公共资源配置效率。完善并购、破产、置换等政策，盘活用好低效用地、闲置房产、存量基础设施，争取低效用地再开发试点，为培育新质生产力腾出发展空间。健全畅通有序的劳动力市场和统一规范的人才市场体系。深化资源环境要素市场化配置改革，推进用水权、排污权等环境权益市场化交易和水、能源、交通等领域价格改革。</w:t>
      </w:r>
      <w:bookmarkStart w:id="95" w:name="OLE_LINK18"/>
      <w:r>
        <w:rPr>
          <w:rFonts w:ascii="宋体" w:eastAsia="方正仿宋简体" w:hAnsi="宋体" w:cs="方正仿宋简体" w:hint="eastAsia"/>
          <w:sz w:val="32"/>
          <w:szCs w:val="32"/>
        </w:rPr>
        <w:t>推动司法判决执行与破产制度有机衔接</w:t>
      </w:r>
      <w:bookmarkEnd w:id="95"/>
      <w:r>
        <w:rPr>
          <w:rFonts w:ascii="宋体" w:eastAsia="方正仿宋简体" w:hAnsi="宋体" w:cs="方正仿宋简体" w:hint="eastAsia"/>
          <w:sz w:val="32"/>
          <w:szCs w:val="32"/>
        </w:rPr>
        <w:t>，依法有效盘活被查封冻结资产，提高存量要素利用效率。</w:t>
      </w:r>
    </w:p>
    <w:p w14:paraId="534F0DA1"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加快营造一流营商环境。</w:t>
      </w:r>
      <w:r>
        <w:rPr>
          <w:rFonts w:ascii="宋体" w:eastAsia="方正仿宋简体" w:hAnsi="宋体" w:cs="方正仿宋简体" w:hint="eastAsia"/>
          <w:sz w:val="32"/>
          <w:szCs w:val="32"/>
        </w:rPr>
        <w:t>围绕打造市场化、法治化一流营商环境目标，塑强“钢好办”政务服务品牌。持续优化审批服务，强化数字赋能，推进集成办、跨域办、就近办、帮代办、预约办等便民措施落地见效，不断提升企业群众办事体验。深入推进“高效办成一件事”改革，加强政务服务标准化、规范化、便利化、数智化建设。用好“泉惠企”平台，持续推动惠企政策“直达快享”改革，确保政策红利精准滴灌市场主体。强化涉企收费、账</w:t>
      </w:r>
      <w:r>
        <w:rPr>
          <w:rFonts w:ascii="宋体" w:eastAsia="方正仿宋简体" w:hAnsi="宋体" w:cs="方正仿宋简体" w:hint="eastAsia"/>
          <w:sz w:val="32"/>
          <w:szCs w:val="32"/>
        </w:rPr>
        <w:lastRenderedPageBreak/>
        <w:t>款清偿长效监管，严格规范涉企行政执法，防止和纠正违规异地执法、趋利性执法等行为，推进“无感监管”、“无事不扰”。聚焦企业急难愁盼，完善涉企诉求分级分类办理机制，提升诉求解决质效。强化信用体系建设，推动政府诚信履约，加强政企常态化沟通交流，加大助企纾困帮扶力度，帮助企业解决实际问题，构建亲清统一的新型政商关系。</w:t>
      </w:r>
    </w:p>
    <w:p w14:paraId="1FD8EDB2"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黑体" w:hint="eastAsia"/>
          <w:kern w:val="44"/>
          <w:sz w:val="32"/>
          <w:szCs w:val="48"/>
          <w:lang w:bidi="ar"/>
        </w:rPr>
        <w:t>充分激发市场主体活力</w:t>
      </w:r>
    </w:p>
    <w:p w14:paraId="4844384A" w14:textId="77777777" w:rsidR="00080503" w:rsidRDefault="003A23BA">
      <w:pPr>
        <w:overflowPunct w:val="0"/>
        <w:spacing w:line="616" w:lineRule="exact"/>
        <w:ind w:firstLineChars="200" w:firstLine="640"/>
        <w:rPr>
          <w:rFonts w:ascii="宋体" w:eastAsia="仿宋_GB2312" w:hAnsi="宋体" w:cs="仿宋_GB2312"/>
          <w:sz w:val="32"/>
          <w:szCs w:val="32"/>
        </w:rPr>
      </w:pPr>
      <w:r>
        <w:rPr>
          <w:rFonts w:ascii="宋体" w:eastAsia="方正仿宋简体" w:hAnsi="宋体" w:cs="方正仿宋简体" w:hint="eastAsia"/>
          <w:sz w:val="32"/>
          <w:szCs w:val="32"/>
        </w:rPr>
        <w:t>深化国资国企改革，优化民营经济发展环境，促进各种所有制经济优势互补、共同发展。</w:t>
      </w:r>
    </w:p>
    <w:p w14:paraId="059327DA"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推进国有企业改革。</w:t>
      </w:r>
      <w:r>
        <w:rPr>
          <w:rFonts w:ascii="宋体" w:eastAsia="方正仿宋简体" w:hAnsi="宋体" w:cs="方正仿宋简体" w:hint="eastAsia"/>
          <w:sz w:val="32"/>
          <w:szCs w:val="32"/>
        </w:rPr>
        <w:t>坚持和加强党对国有企业的全面领导，以提高国有资本效率、增强国有企业活力为中心，深化国资国企改革。推动区属国有企业聚焦主责主业，通过战略性重组、专业化整合、市场化运作，做强做优做大国有企业和国有资本，增强对全区经济社会发展的支撑带动作用。推进国有经济布局优化和结构调整，在先进制造业、战略性新兴产业、现代服务业等领域加快布局，推动国有企业向民生服务商、城市运营商、产业投资商、资本运营商、科技创新型企业转变。创新穿透式监管方式，完善国资监管体制。健全国有企业法人治理结构和市场化经营机制。持续提升国有企业现代化治理效能。建立健全国有经济增加值核算体系，精准反映国有经济发展质效。</w:t>
      </w:r>
    </w:p>
    <w:p w14:paraId="3BA527B1"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lastRenderedPageBreak/>
        <w:t>激发民营经济发展活力。</w:t>
      </w:r>
      <w:r>
        <w:rPr>
          <w:rFonts w:ascii="宋体" w:eastAsia="方正仿宋简体" w:hAnsi="宋体" w:cs="方正仿宋简体" w:hint="eastAsia"/>
          <w:sz w:val="32"/>
          <w:szCs w:val="32"/>
        </w:rPr>
        <w:t>全面落实民营经济促进法，依法保护民营企业家合法权益。完善民营企业融资支持政策，建立信用评价体系与中小企业增信制度，助力中小企业和个体工商户发展。深入开展服务民营企业专项行动，构建“亲清有为”新型政商关系。发挥行业协会商会作用，及时反映行业诉求，高标准落实企业诉求“</w:t>
      </w:r>
      <w:r>
        <w:rPr>
          <w:rFonts w:ascii="宋体" w:eastAsia="方正仿宋简体" w:hAnsi="宋体" w:cs="方正仿宋简体" w:hint="eastAsia"/>
          <w:sz w:val="32"/>
          <w:szCs w:val="32"/>
        </w:rPr>
        <w:t>2110</w:t>
      </w:r>
      <w:r>
        <w:rPr>
          <w:rFonts w:ascii="宋体" w:eastAsia="方正仿宋简体" w:hAnsi="宋体" w:cs="方正仿宋简体" w:hint="eastAsia"/>
          <w:sz w:val="32"/>
          <w:szCs w:val="32"/>
        </w:rPr>
        <w:t>”工作机制，确保企业诉求高效解决。培育年轻一代企业家，营造尊商重企氛围。引导更多民营企业融入“</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”主导产业链，攻关核心技术、承接专业化项目。创新生产与产业组织模式，积极打造知名品牌。</w:t>
      </w:r>
    </w:p>
    <w:p w14:paraId="569315F2" w14:textId="77777777" w:rsidR="00080503" w:rsidRDefault="003A23BA">
      <w:pPr>
        <w:pStyle w:val="a3"/>
        <w:overflowPunct w:val="0"/>
        <w:spacing w:before="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统筹突破关键领域改革</w:t>
      </w:r>
    </w:p>
    <w:p w14:paraId="7F280604" w14:textId="77777777" w:rsidR="00080503" w:rsidRDefault="003A23BA">
      <w:pPr>
        <w:overflowPunct w:val="0"/>
        <w:spacing w:line="616" w:lineRule="exact"/>
        <w:ind w:firstLineChars="200" w:firstLine="640"/>
        <w:rPr>
          <w:rFonts w:ascii="宋体" w:eastAsia="仿宋_GB2312" w:hAnsi="宋体" w:cs="Times New Roman"/>
          <w:sz w:val="32"/>
        </w:rPr>
      </w:pPr>
      <w:bookmarkStart w:id="96" w:name="_Toc28105"/>
      <w:r>
        <w:rPr>
          <w:rFonts w:ascii="宋体" w:eastAsia="方正仿宋简体" w:hAnsi="宋体" w:cs="方正仿宋简体" w:hint="eastAsia"/>
          <w:sz w:val="32"/>
          <w:szCs w:val="32"/>
        </w:rPr>
        <w:t>聚焦财税、金融等重点领域和关键环节，推进深层次体制机制改革，为高质量发展提供坚实的制度保障和要素支撑。</w:t>
      </w:r>
    </w:p>
    <w:bookmarkEnd w:id="96"/>
    <w:p w14:paraId="75CE59F1"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积极推进财税管理体制改革。</w:t>
      </w:r>
      <w:r>
        <w:rPr>
          <w:rFonts w:ascii="宋体" w:eastAsia="方正仿宋简体" w:hAnsi="宋体" w:cs="方正仿宋简体" w:hint="eastAsia"/>
          <w:sz w:val="32"/>
          <w:szCs w:val="32"/>
        </w:rPr>
        <w:t>坚持改革赋能、管理挖潜、监督明纪，构建</w:t>
      </w:r>
      <w:r>
        <w:rPr>
          <w:rFonts w:ascii="宋体" w:eastAsia="方正仿宋简体" w:hAnsi="宋体" w:cs="方正仿宋简体"/>
          <w:sz w:val="32"/>
          <w:szCs w:val="32"/>
        </w:rPr>
        <w:t>横向协同、纵向贯通的</w:t>
      </w:r>
      <w:r>
        <w:rPr>
          <w:rFonts w:ascii="宋体" w:eastAsia="方正仿宋简体" w:hAnsi="宋体" w:cs="方正仿宋简体" w:hint="eastAsia"/>
          <w:sz w:val="32"/>
          <w:szCs w:val="32"/>
        </w:rPr>
        <w:t>财政管理体系。强化财政资源和预算统筹，</w:t>
      </w:r>
      <w:r>
        <w:rPr>
          <w:rFonts w:ascii="宋体" w:eastAsia="方正仿宋简体" w:hAnsi="宋体" w:cs="方正仿宋简体"/>
          <w:sz w:val="32"/>
          <w:szCs w:val="32"/>
        </w:rPr>
        <w:t>完善零基预算全流程管理机制，</w:t>
      </w:r>
      <w:r>
        <w:rPr>
          <w:rFonts w:ascii="宋体" w:eastAsia="方正仿宋简体" w:hAnsi="宋体" w:cs="方正仿宋简体" w:hint="eastAsia"/>
          <w:sz w:val="32"/>
          <w:szCs w:val="32"/>
        </w:rPr>
        <w:t>打破支出固化格局，从严管控非重点、非刚性支出，</w:t>
      </w:r>
      <w:r>
        <w:rPr>
          <w:rFonts w:ascii="宋体" w:eastAsia="方正仿宋简体" w:hAnsi="宋体" w:cs="方正仿宋简体"/>
          <w:sz w:val="32"/>
          <w:szCs w:val="32"/>
        </w:rPr>
        <w:t>推动财政资源向重大战略、重点领域和民生实事</w:t>
      </w:r>
      <w:r>
        <w:rPr>
          <w:rFonts w:ascii="宋体" w:eastAsia="方正仿宋简体" w:hAnsi="宋体" w:cs="方正仿宋简体" w:hint="eastAsia"/>
          <w:sz w:val="32"/>
          <w:szCs w:val="32"/>
        </w:rPr>
        <w:t>倾斜。深化预算绩效管理，构建全方位、全过程、全覆盖预算绩效管理体系，加强绩效结果运用，提升财政资金使用效能。深化收入征管改革，落实</w:t>
      </w:r>
      <w:r>
        <w:rPr>
          <w:rFonts w:ascii="宋体" w:eastAsia="方正仿宋简体" w:hAnsi="宋体" w:cs="方正仿宋简体"/>
          <w:sz w:val="32"/>
          <w:szCs w:val="32"/>
        </w:rPr>
        <w:t>消费税、增值税等</w:t>
      </w:r>
      <w:r>
        <w:rPr>
          <w:rFonts w:ascii="宋体" w:eastAsia="方正仿宋简体" w:hAnsi="宋体" w:cs="方正仿宋简体" w:hint="eastAsia"/>
          <w:sz w:val="32"/>
          <w:szCs w:val="32"/>
        </w:rPr>
        <w:t>税收</w:t>
      </w:r>
      <w:r>
        <w:rPr>
          <w:rFonts w:ascii="宋体" w:eastAsia="方正仿宋简体" w:hAnsi="宋体" w:cs="方正仿宋简体"/>
          <w:sz w:val="32"/>
          <w:szCs w:val="32"/>
        </w:rPr>
        <w:t>改革</w:t>
      </w:r>
      <w:r>
        <w:rPr>
          <w:rFonts w:ascii="宋体" w:eastAsia="方正仿宋简体" w:hAnsi="宋体" w:cs="方正仿宋简体" w:hint="eastAsia"/>
          <w:sz w:val="32"/>
          <w:szCs w:val="32"/>
        </w:rPr>
        <w:t>举措</w:t>
      </w:r>
      <w:r>
        <w:rPr>
          <w:rFonts w:ascii="宋体" w:eastAsia="方正仿宋简体" w:hAnsi="宋体" w:cs="方正仿宋简体"/>
          <w:sz w:val="32"/>
          <w:szCs w:val="32"/>
        </w:rPr>
        <w:t>，完善税收征管机制</w:t>
      </w:r>
      <w:r>
        <w:rPr>
          <w:rFonts w:ascii="宋体" w:eastAsia="方正仿宋简体" w:hAnsi="宋体" w:cs="方正仿宋简体" w:hint="eastAsia"/>
          <w:sz w:val="32"/>
          <w:szCs w:val="32"/>
        </w:rPr>
        <w:t>，规范非税收入管理</w:t>
      </w:r>
      <w:r>
        <w:rPr>
          <w:rFonts w:ascii="宋体" w:eastAsia="方正仿宋简体" w:hAnsi="宋体" w:cs="方正仿宋简体"/>
          <w:sz w:val="32"/>
          <w:szCs w:val="32"/>
        </w:rPr>
        <w:t>。</w:t>
      </w:r>
      <w:r>
        <w:rPr>
          <w:rFonts w:ascii="宋体" w:eastAsia="方正仿宋简体" w:hAnsi="宋体" w:cs="方正仿宋简体" w:hint="eastAsia"/>
          <w:sz w:val="32"/>
          <w:szCs w:val="32"/>
        </w:rPr>
        <w:t>推进数字治</w:t>
      </w:r>
      <w:r>
        <w:rPr>
          <w:rFonts w:ascii="宋体" w:eastAsia="方正仿宋简体" w:hAnsi="宋体" w:cs="方正仿宋简体" w:hint="eastAsia"/>
          <w:sz w:val="32"/>
          <w:szCs w:val="32"/>
        </w:rPr>
        <w:lastRenderedPageBreak/>
        <w:t>税，依托大数据、人工智能等现代信息技术，健全完善税收征管系统，实现企业注册登记、发票开具、资金流转等信息实时共享。</w:t>
      </w:r>
      <w:r>
        <w:rPr>
          <w:rFonts w:ascii="宋体" w:eastAsia="方正仿宋简体" w:hAnsi="宋体" w:cs="方正仿宋简体"/>
          <w:sz w:val="32"/>
          <w:szCs w:val="32"/>
        </w:rPr>
        <w:t>健全财政监督长效机制，聚焦预算管理、国有资产、政府采购、财务会计等关键领域，</w:t>
      </w:r>
      <w:r>
        <w:rPr>
          <w:rFonts w:ascii="宋体" w:eastAsia="方正仿宋简体" w:hAnsi="宋体" w:cs="方正仿宋简体" w:hint="eastAsia"/>
          <w:sz w:val="32"/>
          <w:szCs w:val="32"/>
        </w:rPr>
        <w:t>常态化、制度化推进监督核查</w:t>
      </w:r>
      <w:r>
        <w:rPr>
          <w:rFonts w:ascii="宋体" w:eastAsia="方正仿宋简体" w:hAnsi="宋体" w:cs="方正仿宋简体"/>
          <w:sz w:val="32"/>
          <w:szCs w:val="32"/>
        </w:rPr>
        <w:t>，</w:t>
      </w:r>
      <w:r>
        <w:rPr>
          <w:rFonts w:ascii="宋体" w:eastAsia="方正仿宋简体" w:hAnsi="宋体" w:cs="方正仿宋简体" w:hint="eastAsia"/>
          <w:sz w:val="32"/>
          <w:szCs w:val="32"/>
        </w:rPr>
        <w:t>持续提升财政精细化管理水平</w:t>
      </w:r>
      <w:r>
        <w:rPr>
          <w:rFonts w:ascii="宋体" w:eastAsia="方正仿宋简体" w:hAnsi="宋体" w:cs="方正仿宋简体"/>
          <w:sz w:val="32"/>
          <w:szCs w:val="32"/>
        </w:rPr>
        <w:t>。</w:t>
      </w:r>
    </w:p>
    <w:p w14:paraId="69AB2C7B"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加快完善地方现代金融体系。</w:t>
      </w:r>
      <w:r>
        <w:rPr>
          <w:rFonts w:ascii="宋体" w:eastAsia="方正仿宋简体" w:hAnsi="宋体" w:cs="方正仿宋简体"/>
          <w:sz w:val="32"/>
          <w:szCs w:val="32"/>
        </w:rPr>
        <w:t>深化金融体制改革，提高金融服务质量。坚持金融服务实体经济的根本宗旨，着力做好科技金融、绿色金融、普惠金融、养老金融、数字金融五篇大文章，贷款余额年均增速不低于</w:t>
      </w:r>
      <w:r>
        <w:rPr>
          <w:rFonts w:ascii="宋体" w:eastAsia="方正仿宋简体" w:hAnsi="宋体" w:cs="方正仿宋简体"/>
          <w:sz w:val="32"/>
          <w:szCs w:val="32"/>
        </w:rPr>
        <w:t>8%</w:t>
      </w:r>
      <w:r>
        <w:rPr>
          <w:rFonts w:ascii="宋体" w:eastAsia="方正仿宋简体" w:hAnsi="宋体" w:cs="方正仿宋简体"/>
          <w:sz w:val="32"/>
          <w:szCs w:val="32"/>
        </w:rPr>
        <w:t>，科创贷款、绿色贷款、普惠贷款等重点贷款增速不低于平均贷款增速。引导各金融机构强化金融供给，做优信贷增量，保持合理利润和净息差水平，金融业增加值年均增速不低于</w:t>
      </w:r>
      <w:r>
        <w:rPr>
          <w:rFonts w:ascii="宋体" w:eastAsia="方正仿宋简体" w:hAnsi="宋体" w:cs="方正仿宋简体"/>
          <w:sz w:val="32"/>
          <w:szCs w:val="32"/>
        </w:rPr>
        <w:t>3%</w:t>
      </w:r>
      <w:r>
        <w:rPr>
          <w:rFonts w:ascii="宋体" w:eastAsia="方正仿宋简体" w:hAnsi="宋体" w:cs="方正仿宋简体" w:hint="eastAsia"/>
          <w:sz w:val="32"/>
          <w:szCs w:val="32"/>
        </w:rPr>
        <w:t>，</w:t>
      </w:r>
      <w:r>
        <w:rPr>
          <w:rFonts w:ascii="宋体" w:eastAsia="方正仿宋简体" w:hAnsi="宋体" w:cs="方正仿宋简体"/>
          <w:sz w:val="32"/>
          <w:szCs w:val="32"/>
        </w:rPr>
        <w:t>提升金融业对经济增长的贡献度。深化政银企对接合作，完善金融管家、金融辅导工作机制，提升金融供给的精准性和适配度。完善金融服务体系，鼓励符合条件的银行机构在我区设立科技金融支行或特色专营机构，新招引</w:t>
      </w:r>
      <w:r>
        <w:rPr>
          <w:rFonts w:ascii="宋体" w:eastAsia="方正仿宋简体" w:hAnsi="宋体" w:cs="方正仿宋简体"/>
          <w:sz w:val="32"/>
          <w:szCs w:val="32"/>
        </w:rPr>
        <w:t>3</w:t>
      </w:r>
      <w:r>
        <w:rPr>
          <w:rFonts w:ascii="宋体" w:eastAsia="方正仿宋简体" w:hAnsi="宋体" w:cs="方正仿宋简体"/>
          <w:sz w:val="32"/>
          <w:szCs w:val="32"/>
        </w:rPr>
        <w:t>家金融机构落地钢城。发展多元股权融资，完善全链条融资支持体系，提高直接融资比重，新增</w:t>
      </w:r>
      <w:r>
        <w:rPr>
          <w:rFonts w:ascii="宋体" w:eastAsia="方正仿宋简体" w:hAnsi="宋体" w:cs="方正仿宋简体"/>
          <w:sz w:val="32"/>
          <w:szCs w:val="32"/>
        </w:rPr>
        <w:t>3</w:t>
      </w:r>
      <w:r>
        <w:rPr>
          <w:rFonts w:ascii="宋体" w:eastAsia="方正仿宋简体" w:hAnsi="宋体" w:cs="方正仿宋简体"/>
          <w:sz w:val="32"/>
          <w:szCs w:val="32"/>
        </w:rPr>
        <w:t>家上市辅导企业。</w:t>
      </w:r>
    </w:p>
    <w:p w14:paraId="465DC716"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提升开发区发展能级。</w:t>
      </w:r>
      <w:r>
        <w:rPr>
          <w:rFonts w:ascii="宋体" w:eastAsia="方正仿宋简体" w:hAnsi="宋体" w:cs="方正仿宋简体" w:hint="eastAsia"/>
          <w:sz w:val="32"/>
          <w:szCs w:val="32"/>
        </w:rPr>
        <w:t>培育壮大主导产业，着力在先进材料、专用装备、汽车零部件产业发力，逐步向机器人等未来产业拓展，不断提升主导产业综合竞争优势。完善产业招商图谱，在产业链、供应链上下游进行项目谋划招引，逐步完善产业链条。聚焦发展</w:t>
      </w:r>
      <w:r>
        <w:rPr>
          <w:rFonts w:ascii="宋体" w:eastAsia="方正仿宋简体" w:hAnsi="宋体" w:cs="方正仿宋简体" w:hint="eastAsia"/>
          <w:sz w:val="32"/>
          <w:szCs w:val="32"/>
        </w:rPr>
        <w:lastRenderedPageBreak/>
        <w:t>需求，统筹推进园区设施提质升级，完善交通、能源、供排水、通信等配套设施。强化住房、医疗、教育等公共资源配套，打造宜居宜业的综合发展空间。优化管理制度，完善“管委会＋公司”运营模式，促进人、地、财等关键要素向园区汇聚，推动回归本位、聚焦主业、塑强优势，有效提升产业水平、投资效率、亩均效益，更好发挥经济增长主阵地、主战场、主引擎作用。</w:t>
      </w:r>
    </w:p>
    <w:p w14:paraId="1C62A27A"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第四节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构建全方位开放新格局</w:t>
      </w:r>
    </w:p>
    <w:p w14:paraId="72A2895E" w14:textId="77777777" w:rsidR="00080503" w:rsidRDefault="003A23BA">
      <w:pPr>
        <w:overflowPunct w:val="0"/>
        <w:spacing w:line="616" w:lineRule="exact"/>
        <w:ind w:firstLineChars="200" w:firstLine="640"/>
        <w:rPr>
          <w:rFonts w:ascii="宋体" w:eastAsia="楷体_GB2312" w:hAnsi="宋体" w:cs="楷体_GB2312"/>
          <w:sz w:val="32"/>
          <w:szCs w:val="32"/>
        </w:rPr>
      </w:pPr>
      <w:r>
        <w:rPr>
          <w:rFonts w:ascii="宋体" w:eastAsia="方正仿宋简体" w:hAnsi="宋体" w:cs="方正仿宋简体" w:hint="eastAsia"/>
          <w:sz w:val="32"/>
          <w:szCs w:val="32"/>
        </w:rPr>
        <w:t>坚持实施更大范围、更宽领域、更深层次对外开放，着力提升开放型经济发展水平，不断增强产业链供应链价值链的影响力和竞争力。</w:t>
      </w:r>
    </w:p>
    <w:p w14:paraId="23F084DF"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推动外资外贸提质增效升级。</w:t>
      </w:r>
      <w:r>
        <w:rPr>
          <w:rFonts w:ascii="宋体" w:eastAsia="方正仿宋简体" w:hAnsi="宋体" w:cs="方正仿宋简体" w:hint="eastAsia"/>
          <w:sz w:val="32"/>
          <w:szCs w:val="32"/>
        </w:rPr>
        <w:t>持续优化出口产品结构，引导区内钢铁企业对标国际先进标准，重点发展高附加值、高技术含量的特种钢材、精品钢材及高端钢铁制品。积极培育壮大外贸主体，稳定传统市场业务规模，积极开拓“一带一路”等新兴市场份额。不断升级货物贸易，拓展中间品贸易，扩大钢材、风力发电机主轴、激光装备、农产品等出口规模，稳步扩大大宗商品进口规模，推动进出口平衡发展。</w:t>
      </w:r>
    </w:p>
    <w:p w14:paraId="2D6C23C5"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拓宽对外开放交流平台。</w:t>
      </w:r>
      <w:r>
        <w:rPr>
          <w:rFonts w:ascii="宋体" w:eastAsia="方正仿宋简体" w:hAnsi="宋体" w:cs="方正仿宋简体" w:hint="eastAsia"/>
          <w:sz w:val="32"/>
          <w:szCs w:val="32"/>
        </w:rPr>
        <w:t>鼓励支持华东制管、华宸户外等企业充分利用广交会平台，积极开拓国际市场，支持做优高端钢材出口品类，搭建钢材跨境贸易专业平台，整合供需信息、报关报</w:t>
      </w:r>
      <w:r>
        <w:rPr>
          <w:rFonts w:ascii="宋体" w:eastAsia="方正仿宋简体" w:hAnsi="宋体" w:cs="方正仿宋简体" w:hint="eastAsia"/>
          <w:sz w:val="32"/>
          <w:szCs w:val="32"/>
        </w:rPr>
        <w:lastRenderedPageBreak/>
        <w:t>检、物流运输等资源，提升贸易便利化水平。推动内外贸融合，健全跨境电子商务服务平台，推动内外贸监管衔接、质量标准互认、数据信息共享与渠道网络互通，加速实现内外贸一体化发展。</w:t>
      </w:r>
    </w:p>
    <w:p w14:paraId="71B84802"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sz w:val="32"/>
          <w:szCs w:val="32"/>
        </w:rPr>
        <w:t>优化利用外资结构</w:t>
      </w:r>
      <w:r>
        <w:rPr>
          <w:rFonts w:ascii="宋体" w:eastAsia="方正楷体简体" w:hAnsi="宋体" w:cs="方正楷体简体" w:hint="eastAsia"/>
          <w:sz w:val="32"/>
          <w:szCs w:val="32"/>
        </w:rPr>
        <w:t>。</w:t>
      </w:r>
      <w:r>
        <w:rPr>
          <w:rFonts w:ascii="宋体" w:eastAsia="方正仿宋简体" w:hAnsi="宋体" w:cs="方正仿宋简体"/>
          <w:sz w:val="32"/>
          <w:szCs w:val="32"/>
        </w:rPr>
        <w:t>以链式思维靶向招引高质量外资</w:t>
      </w:r>
      <w:r>
        <w:rPr>
          <w:rFonts w:ascii="宋体" w:eastAsia="方正仿宋简体" w:hAnsi="宋体" w:cs="方正仿宋简体" w:hint="eastAsia"/>
          <w:sz w:val="32"/>
          <w:szCs w:val="32"/>
        </w:rPr>
        <w:t>，</w:t>
      </w:r>
      <w:r>
        <w:rPr>
          <w:rFonts w:ascii="宋体" w:eastAsia="方正仿宋简体" w:hAnsi="宋体" w:cs="方正仿宋简体"/>
          <w:sz w:val="32"/>
          <w:szCs w:val="32"/>
        </w:rPr>
        <w:t>探索通过股权投资等方式利用外资，引导更多外资投向先进制造业、现代服务业、高新技术、节能环保等领域，加</w:t>
      </w:r>
      <w:r>
        <w:rPr>
          <w:rFonts w:ascii="宋体" w:eastAsia="方正仿宋简体" w:hAnsi="宋体" w:cs="方正仿宋简体" w:hint="eastAsia"/>
          <w:sz w:val="32"/>
          <w:szCs w:val="32"/>
        </w:rPr>
        <w:t>快</w:t>
      </w:r>
      <w:r>
        <w:rPr>
          <w:rFonts w:ascii="宋体" w:eastAsia="方正仿宋简体" w:hAnsi="宋体" w:cs="方正仿宋简体"/>
          <w:sz w:val="32"/>
          <w:szCs w:val="32"/>
        </w:rPr>
        <w:t>引进培育一批外资实体企业。积极谋划宝武清能空气分离项目外资使用路径，支持外资企业提档升级，通过增资、融资等方式扩产扩能，发展壮大</w:t>
      </w:r>
      <w:r>
        <w:rPr>
          <w:rFonts w:ascii="宋体" w:eastAsia="方正仿宋简体" w:hAnsi="宋体" w:cs="方正仿宋简体" w:hint="eastAsia"/>
          <w:sz w:val="32"/>
          <w:szCs w:val="32"/>
        </w:rPr>
        <w:t>。</w:t>
      </w:r>
    </w:p>
    <w:p w14:paraId="265878D6"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sz w:val="32"/>
          <w:szCs w:val="32"/>
        </w:rPr>
        <w:br w:type="page"/>
      </w:r>
    </w:p>
    <w:p w14:paraId="7C17E1DE" w14:textId="77777777" w:rsidR="00080503" w:rsidRDefault="00080503">
      <w:pPr>
        <w:overflowPunct w:val="0"/>
        <w:spacing w:line="620" w:lineRule="exact"/>
        <w:jc w:val="center"/>
        <w:rPr>
          <w:rFonts w:ascii="方正小标宋简体" w:eastAsia="方正小标宋简体" w:hAnsi="宋体" w:cs="方正仿宋简体"/>
          <w:sz w:val="44"/>
          <w:szCs w:val="44"/>
        </w:rPr>
      </w:pPr>
    </w:p>
    <w:p w14:paraId="203CA87C" w14:textId="77777777" w:rsidR="00080503" w:rsidRDefault="003A23BA">
      <w:pPr>
        <w:overflowPunct w:val="0"/>
        <w:spacing w:line="620"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第八章  </w:t>
      </w:r>
      <w:r>
        <w:rPr>
          <w:rFonts w:ascii="方正小标宋简体" w:eastAsia="方正小标宋简体" w:hAnsi="宋体" w:cs="方正小标宋简体" w:hint="eastAsia"/>
          <w:sz w:val="44"/>
          <w:szCs w:val="44"/>
        </w:rPr>
        <w:t>实施新型城镇化战略</w:t>
      </w:r>
    </w:p>
    <w:p w14:paraId="03D1F6D6" w14:textId="77777777" w:rsidR="00080503" w:rsidRDefault="003A23BA">
      <w:pPr>
        <w:overflowPunct w:val="0"/>
        <w:spacing w:line="620"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以城乡融合带动乡村全面振兴</w:t>
      </w:r>
    </w:p>
    <w:p w14:paraId="2570BCF7" w14:textId="77777777" w:rsidR="00080503" w:rsidRDefault="00080503">
      <w:pPr>
        <w:overflowPunct w:val="0"/>
        <w:spacing w:line="620" w:lineRule="exact"/>
        <w:ind w:firstLineChars="200" w:firstLine="640"/>
        <w:rPr>
          <w:rFonts w:ascii="宋体" w:eastAsia="方正仿宋简体" w:hAnsi="宋体" w:cs="方正仿宋简体"/>
          <w:sz w:val="32"/>
          <w:szCs w:val="32"/>
        </w:rPr>
      </w:pPr>
    </w:p>
    <w:p w14:paraId="747B2D3B"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坚持城市更新与乡村建设协同发力，深入推进城市更新和乡村振兴，畅通城乡要素流动，构建功能互补、特色鲜明、和谐宜居的现代城乡发展新格局。</w:t>
      </w:r>
    </w:p>
    <w:p w14:paraId="14E0B800" w14:textId="77777777" w:rsidR="00080503" w:rsidRDefault="003A23BA">
      <w:pPr>
        <w:overflowPunct w:val="0"/>
        <w:spacing w:before="240" w:after="240" w:line="62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提升城市内涵品质</w:t>
      </w:r>
    </w:p>
    <w:p w14:paraId="0A1CB282" w14:textId="77777777" w:rsidR="00080503" w:rsidRDefault="003A23BA">
      <w:pPr>
        <w:overflowPunct w:val="0"/>
        <w:spacing w:line="620" w:lineRule="exact"/>
        <w:ind w:firstLineChars="200" w:firstLine="640"/>
        <w:rPr>
          <w:rFonts w:ascii="宋体" w:eastAsia="仿宋_GB2312" w:hAnsi="宋体" w:cs="仿宋_GB2312"/>
          <w:kern w:val="0"/>
          <w:sz w:val="32"/>
          <w:szCs w:val="32"/>
        </w:rPr>
      </w:pPr>
      <w:bookmarkStart w:id="97" w:name="OLE_LINK12"/>
      <w:bookmarkStart w:id="98" w:name="OLE_LINK11"/>
      <w:r>
        <w:rPr>
          <w:rFonts w:ascii="宋体" w:eastAsia="方正仿宋简体" w:hAnsi="宋体" w:cs="方正仿宋简体" w:hint="eastAsia"/>
          <w:sz w:val="32"/>
          <w:szCs w:val="32"/>
        </w:rPr>
        <w:t>以城市有机更新为关键、塑造特色风貌为核心、精细化管理为支撑，重点推进空间功能优化、历史文脉传承、治理效能提升，全面推进城市内涵品质升级，着力打造创新、宜居、美丽、韧性、文明、智慧的现代化城市。</w:t>
      </w:r>
    </w:p>
    <w:p w14:paraId="3ED00CF7"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提速城市有机更新。</w:t>
      </w:r>
      <w:r>
        <w:rPr>
          <w:rFonts w:ascii="宋体" w:eastAsia="方正仿宋简体" w:hAnsi="宋体" w:cs="方正仿宋简体" w:hint="eastAsia"/>
          <w:sz w:val="32"/>
          <w:szCs w:val="32"/>
        </w:rPr>
        <w:t>坚持规划引领、民生优先、产城融合，建立健全城市体检评估机制，加快推动城市结构优化、功能完善和品质提升，全面提升城市综合承载能力和可持续发展水平。深入开展完整社区建设，高标准推进艾山片区等城市更新重点项目，统筹实施老旧小区改造、市政设施升级和公共服务配套，重点完善安置住房、公园绿地、教育医疗、养老托育、商业服务等设施布局，打造功能复合、职住平衡、生态宜居的现代化城市片区。稳妥有序完成南部新城、</w:t>
      </w:r>
      <w:r>
        <w:rPr>
          <w:rFonts w:ascii="宋体" w:eastAsia="宋体" w:hAnsi="宋体" w:cs="宋体" w:hint="eastAsia"/>
          <w:sz w:val="32"/>
          <w:szCs w:val="32"/>
        </w:rPr>
        <w:t>桲</w:t>
      </w:r>
      <w:r>
        <w:rPr>
          <w:rFonts w:ascii="方正仿宋简体" w:eastAsia="方正仿宋简体" w:hAnsi="方正仿宋简体" w:cs="方正仿宋简体" w:hint="eastAsia"/>
          <w:sz w:val="32"/>
          <w:szCs w:val="32"/>
        </w:rPr>
        <w:t>椤村等城中村改造项目，确保项</w:t>
      </w:r>
      <w:r>
        <w:rPr>
          <w:rFonts w:ascii="方正仿宋简体" w:eastAsia="方正仿宋简体" w:hAnsi="方正仿宋简体" w:cs="方正仿宋简体" w:hint="eastAsia"/>
          <w:sz w:val="32"/>
          <w:szCs w:val="32"/>
        </w:rPr>
        <w:lastRenderedPageBreak/>
        <w:t>目高质量收官，推动片区功能整体提升。加大城市交通设施建设，攻坚打通路网瓶颈，畅通片区联动脉络，织密城市干支路网体系。科学推进地下空间综合开发利用，提升城市空间资源利用效率和综合防护能力。</w:t>
      </w:r>
    </w:p>
    <w:p w14:paraId="245B743F"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塑造钢城特色风貌。</w:t>
      </w:r>
      <w:r>
        <w:rPr>
          <w:rFonts w:ascii="宋体" w:eastAsia="方正仿宋简体" w:hAnsi="宋体" w:cs="方正仿宋简体" w:hint="eastAsia"/>
          <w:sz w:val="32"/>
          <w:szCs w:val="32"/>
        </w:rPr>
        <w:t>注重保留城市记忆，强化城市设计与风貌管控，突出钢铁工业文化特色，加强对标志性建筑、街道界面等的建设引导，塑造兼具历史底蕴与现代气息的城市特色风貌。建设一批综合公园、社区公园、山体公园、口袋公园，开展绿道建设行动，提升绿道网络和共享绿地管理服务水平。重点塑造汶水两岸城市风貌带，加快建设沿路、沿河、沿厂的生态景观林带，构建“五分钟见绿、十分钟进园”的公园服务圈。</w:t>
      </w:r>
      <w:bookmarkEnd w:id="97"/>
    </w:p>
    <w:p w14:paraId="04C9F0C2"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深化城市精细管理</w:t>
      </w:r>
      <w:bookmarkEnd w:id="98"/>
      <w:r>
        <w:rPr>
          <w:rFonts w:ascii="宋体" w:eastAsia="方正楷体简体" w:hAnsi="宋体" w:cs="方正楷体简体" w:hint="eastAsia"/>
          <w:sz w:val="32"/>
          <w:szCs w:val="32"/>
        </w:rPr>
        <w:t>。</w:t>
      </w:r>
      <w:r>
        <w:rPr>
          <w:rFonts w:ascii="宋体" w:eastAsia="方正仿宋简体" w:hAnsi="宋体" w:cs="方正仿宋简体" w:hint="eastAsia"/>
          <w:sz w:val="32"/>
          <w:szCs w:val="32"/>
        </w:rPr>
        <w:t>践行人民城市理念，推动城市管理向城市治理转变。提升数智化管理水平，整合环卫、渣土、路灯等智能模块，实现数据汇聚共享、系统集成互通，打破数据壁垒，推动城市运行“一网统管”。深化全域化保洁管理，持续开展环境卫生综合整治，健全生活垃圾分类长效机制，加快推进生活垃圾分类收运网络与再生资源回收网络“两网融合”。强化建筑垃圾全过程管理，建成中彩固废资源化中心项目，推动建筑垃圾资源化利用。打造多样化照明场景，持续开展“照亮回家路”工程，统筹景观亮化规划布局，提升夜间环境品质。规范设置便民疏导点，加快停车资源整合，深化“城管进社区”机制，提升执法保</w:t>
      </w:r>
      <w:r>
        <w:rPr>
          <w:rFonts w:ascii="宋体" w:eastAsia="方正仿宋简体" w:hAnsi="宋体" w:cs="方正仿宋简体" w:hint="eastAsia"/>
          <w:sz w:val="32"/>
          <w:szCs w:val="32"/>
        </w:rPr>
        <w:lastRenderedPageBreak/>
        <w:t>障能力，构建多元协同共治共享新格局。</w:t>
      </w:r>
    </w:p>
    <w:p w14:paraId="129D75C9" w14:textId="77777777" w:rsidR="00080503" w:rsidRDefault="003A23BA">
      <w:pPr>
        <w:tabs>
          <w:tab w:val="right" w:leader="dot" w:pos="8958"/>
        </w:tabs>
        <w:overflowPunct w:val="0"/>
        <w:spacing w:after="240" w:line="620" w:lineRule="exact"/>
        <w:ind w:firstLineChars="200" w:firstLine="640"/>
        <w:outlineLvl w:val="2"/>
        <w:rPr>
          <w:rFonts w:ascii="宋体" w:eastAsia="楷体_GB2312" w:hAnsi="宋体" w:cs="楷体_GB2312"/>
          <w:kern w:val="0"/>
          <w:sz w:val="32"/>
          <w:szCs w:val="32"/>
        </w:rPr>
      </w:pPr>
      <w:r>
        <w:rPr>
          <w:rFonts w:ascii="宋体" w:eastAsia="楷体_GB2312" w:hAnsi="宋体" w:cs="楷体_GB2312" w:hint="eastAsia"/>
          <w:kern w:val="0"/>
          <w:sz w:val="32"/>
          <w:szCs w:val="32"/>
        </w:rPr>
        <w:t>推动城乡融合发展。</w:t>
      </w:r>
      <w:r>
        <w:rPr>
          <w:rFonts w:ascii="宋体" w:eastAsia="方正仿宋简体" w:hAnsi="宋体" w:cs="方正仿宋简体" w:hint="eastAsia"/>
          <w:sz w:val="32"/>
          <w:szCs w:val="32"/>
        </w:rPr>
        <w:t>优化国土空间开发保护格局，深化“多规合一”改革，完善国土空间规划体系，优化城镇开发边界。完善城乡融合发展体制机制，开展城乡交通、通信、水电气等市政设施统一规划布局建设，创新一体化运营管理模式，根据城乡人口变化完善义务教育、医疗资源、养老托育服务、公共文化等设施，进一步缩小城乡差别。加快提高城镇化质量和水平，增强城镇综合承载能力，充分释放新型城镇化内需潜力。科学有序推进农业转移人口市民化，加快健全常住地提供基本公共服务制度，推进农业转移人口就地就近全面融入城市，保护进城落户农民合法权益。</w:t>
      </w: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29"/>
      </w:tblGrid>
      <w:tr w:rsidR="00080503" w14:paraId="2AEFF39F" w14:textId="77777777">
        <w:trPr>
          <w:trHeight w:val="680"/>
          <w:jc w:val="center"/>
        </w:trPr>
        <w:tc>
          <w:tcPr>
            <w:tcW w:w="8929" w:type="dxa"/>
            <w:vAlign w:val="center"/>
          </w:tcPr>
          <w:p w14:paraId="07B6675D" w14:textId="77777777" w:rsidR="00080503" w:rsidRDefault="003A23BA">
            <w:pPr>
              <w:overflowPunct w:val="0"/>
              <w:adjustRightInd w:val="0"/>
              <w:snapToGrid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lang w:val="zh-CN"/>
              </w:rPr>
              <w:t>专栏</w:t>
            </w:r>
            <w:r>
              <w:rPr>
                <w:rFonts w:ascii="宋体" w:eastAsia="黑体" w:hAnsi="宋体" w:cs="黑体" w:hint="eastAsia"/>
                <w:sz w:val="28"/>
                <w:szCs w:val="28"/>
              </w:rPr>
              <w:t xml:space="preserve">7  </w:t>
            </w:r>
            <w:r>
              <w:rPr>
                <w:rFonts w:ascii="宋体" w:eastAsia="黑体" w:hAnsi="宋体" w:cs="黑体" w:hint="eastAsia"/>
                <w:sz w:val="28"/>
                <w:szCs w:val="28"/>
              </w:rPr>
              <w:t>城中村改造及城市更新项目</w:t>
            </w:r>
          </w:p>
        </w:tc>
      </w:tr>
      <w:tr w:rsidR="00080503" w14:paraId="47CC4718" w14:textId="77777777">
        <w:trPr>
          <w:trHeight w:val="2315"/>
          <w:jc w:val="center"/>
        </w:trPr>
        <w:tc>
          <w:tcPr>
            <w:tcW w:w="8929" w:type="dxa"/>
            <w:vAlign w:val="center"/>
          </w:tcPr>
          <w:p w14:paraId="5160322F"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仿宋简体" w:hAnsi="宋体" w:cs="方正仿宋简体" w:hint="eastAsia"/>
                <w:sz w:val="28"/>
                <w:szCs w:val="28"/>
              </w:rPr>
              <w:t>加快已启动项目建设，完成城子坡片区城市更新、南部新城城中村改造和</w:t>
            </w:r>
            <w:r>
              <w:rPr>
                <w:rFonts w:ascii="宋体" w:eastAsia="宋体" w:hAnsi="宋体" w:cs="宋体" w:hint="eastAsia"/>
                <w:sz w:val="28"/>
                <w:szCs w:val="28"/>
              </w:rPr>
              <w:t>桲</w:t>
            </w:r>
            <w:r>
              <w:rPr>
                <w:rFonts w:ascii="方正仿宋简体" w:eastAsia="方正仿宋简体" w:hAnsi="方正仿宋简体" w:cs="方正仿宋简体" w:hint="eastAsia"/>
                <w:sz w:val="28"/>
                <w:szCs w:val="28"/>
              </w:rPr>
              <w:t>椤村城中村改造。</w:t>
            </w:r>
          </w:p>
          <w:p w14:paraId="16096E5D"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仿宋简体" w:hAnsi="宋体" w:cs="方正仿宋简体" w:hint="eastAsia"/>
                <w:sz w:val="28"/>
                <w:szCs w:val="28"/>
              </w:rPr>
              <w:t>积极谋划城市更新项目，紧跟政策导向，适时启动高铁新城、逯家庄、郑王庄等城市更新项目，优化空间布局，完善公共设施，增强城市承载力和宜居性。</w:t>
            </w:r>
          </w:p>
        </w:tc>
      </w:tr>
    </w:tbl>
    <w:p w14:paraId="62FDD3F3" w14:textId="77777777" w:rsidR="00080503" w:rsidRDefault="003A23BA">
      <w:pPr>
        <w:overflowPunct w:val="0"/>
        <w:spacing w:before="240" w:after="240" w:line="62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推动区域协同发展</w:t>
      </w:r>
    </w:p>
    <w:p w14:paraId="6CA2C9E3"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紧扣国家区域协调发展战略</w:t>
      </w:r>
      <w:bookmarkStart w:id="99" w:name="OLE_LINK24"/>
      <w:r>
        <w:rPr>
          <w:rFonts w:ascii="宋体" w:eastAsia="方正仿宋简体" w:hAnsi="宋体" w:cs="方正仿宋简体" w:hint="eastAsia"/>
          <w:sz w:val="32"/>
          <w:szCs w:val="32"/>
        </w:rPr>
        <w:t>，强化与重点区域多层次合作、全方位联动，</w:t>
      </w:r>
      <w:bookmarkEnd w:id="99"/>
      <w:r>
        <w:rPr>
          <w:rFonts w:ascii="宋体" w:eastAsia="方正仿宋简体" w:hAnsi="宋体" w:cs="方正仿宋简体" w:hint="eastAsia"/>
          <w:sz w:val="32"/>
          <w:szCs w:val="32"/>
        </w:rPr>
        <w:t>着力打造优势互补、高质量发展的区域发展格局。</w:t>
      </w:r>
    </w:p>
    <w:p w14:paraId="5853F518"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深入落实黄河流域生态保护和高质量发展战略。</w:t>
      </w:r>
      <w:r>
        <w:rPr>
          <w:rFonts w:ascii="宋体" w:eastAsia="方正仿宋简体" w:hAnsi="宋体" w:cs="方正仿宋简体"/>
          <w:sz w:val="32"/>
          <w:szCs w:val="32"/>
        </w:rPr>
        <w:t>主动服务和</w:t>
      </w:r>
      <w:r>
        <w:rPr>
          <w:rFonts w:ascii="宋体" w:eastAsia="方正仿宋简体" w:hAnsi="宋体" w:cs="方正仿宋简体"/>
          <w:sz w:val="32"/>
          <w:szCs w:val="32"/>
        </w:rPr>
        <w:lastRenderedPageBreak/>
        <w:t>融入黄河流域生态保护和高质量发展战略，加强与沿黄区县产业协作，立足自身优势，着力打造</w:t>
      </w:r>
      <w:r>
        <w:rPr>
          <w:rFonts w:ascii="宋体" w:eastAsia="方正仿宋简体" w:hAnsi="宋体" w:cs="方正仿宋简体" w:hint="eastAsia"/>
          <w:sz w:val="32"/>
          <w:szCs w:val="32"/>
        </w:rPr>
        <w:t>黄河流域</w:t>
      </w:r>
      <w:r>
        <w:rPr>
          <w:rFonts w:ascii="宋体" w:eastAsia="方正仿宋简体" w:hAnsi="宋体" w:cs="方正仿宋简体"/>
          <w:sz w:val="32"/>
          <w:szCs w:val="32"/>
        </w:rPr>
        <w:t>先进制造业中心重要承载区。</w:t>
      </w:r>
      <w:r>
        <w:rPr>
          <w:rFonts w:ascii="宋体" w:eastAsia="方正仿宋简体" w:hAnsi="宋体" w:cs="方正仿宋简体" w:hint="eastAsia"/>
          <w:sz w:val="32"/>
          <w:szCs w:val="32"/>
        </w:rPr>
        <w:t>落实沿黄生态廊道保护建设任务，</w:t>
      </w:r>
      <w:r>
        <w:rPr>
          <w:rFonts w:ascii="宋体" w:eastAsia="方正仿宋简体" w:hAnsi="宋体" w:cs="方正仿宋简体"/>
          <w:sz w:val="32"/>
          <w:szCs w:val="32"/>
        </w:rPr>
        <w:t>加强大汶河生态系统保护与修复，增强河道行洪及排涝能力，城市内涝实现动态清零。坚持以水定城、以水定地、以水定人、以水定产，实施最严格的水资源管理制度，推动节水型单元载体建设，强化水资源承载能力在区域发展、产业布局等方面的刚性约束。加强非常规水源开发利用</w:t>
      </w:r>
      <w:r>
        <w:rPr>
          <w:rFonts w:ascii="宋体" w:eastAsia="方正仿宋简体" w:hAnsi="宋体" w:cs="方正仿宋简体" w:hint="eastAsia"/>
          <w:sz w:val="32"/>
          <w:szCs w:val="32"/>
        </w:rPr>
        <w:t>，</w:t>
      </w:r>
      <w:r>
        <w:rPr>
          <w:rFonts w:ascii="宋体" w:eastAsia="方正仿宋简体" w:hAnsi="宋体" w:cs="方正仿宋简体"/>
          <w:sz w:val="32"/>
          <w:szCs w:val="32"/>
        </w:rPr>
        <w:t>加大中水、雨洪水利用力度，有序减少地下水开采、使用，建立精细化管理平台和漏损管控体系，鼓励农村地区就地消纳利用再生水资源。</w:t>
      </w:r>
    </w:p>
    <w:p w14:paraId="2A06CF98"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加快建设省会城市副中心。</w:t>
      </w:r>
      <w:r>
        <w:rPr>
          <w:rFonts w:ascii="宋体" w:eastAsia="方正仿宋简体" w:hAnsi="宋体" w:cs="方正仿宋简体" w:hint="eastAsia"/>
          <w:sz w:val="32"/>
          <w:szCs w:val="32"/>
        </w:rPr>
        <w:t>按照共建共享共赢理念，加强与中心城区协调联动、功能互补，深化在经济、人文等领域的交流合作、区域联动，抓好结对共促工作，持续强化与济南中心城区的连接效能。统筹区域基础设施建设和公共服务设施配套，增强服务当地、带动周边能力，建设鲁中地区的产业高地、教育高地、物流高地、消费高地、民生高地，打造济南副城高质量发展的增长极、辐射带动鲁中南地区的战略支点、精品钢及深加工产业基地。</w:t>
      </w:r>
    </w:p>
    <w:p w14:paraId="1144C28F"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拓展更大范围区域协同。</w:t>
      </w:r>
      <w:r>
        <w:rPr>
          <w:rFonts w:ascii="宋体" w:eastAsia="方正仿宋简体" w:hAnsi="宋体" w:cs="方正仿宋简体" w:hint="eastAsia"/>
          <w:sz w:val="32"/>
          <w:szCs w:val="32"/>
        </w:rPr>
        <w:t>以济南都市圈建设为先导，坚持区域协同、融合共进，深化与毗邻县域融合发展，积极构建高效便捷的综合交通体系。聚焦钢铁、先进材料等优势领域，共同组织</w:t>
      </w:r>
      <w:r>
        <w:rPr>
          <w:rFonts w:ascii="宋体" w:eastAsia="方正仿宋简体" w:hAnsi="宋体" w:cs="方正仿宋简体" w:hint="eastAsia"/>
          <w:sz w:val="32"/>
          <w:szCs w:val="32"/>
        </w:rPr>
        <w:lastRenderedPageBreak/>
        <w:t>实施产业链建链、补链、强链、延链工程，协同培育一批具有较强竞争力的产业集群。加快钢城—新泰一体化高质量发展先行区建设，推动基础设施互联互通、优势产业协作共兴、科技创新协同共振、公共服务共建共享、生态环境共保共治、对外开放合作共赢，全力打造省会经济圈县域一体化高质量发展典范。深化东西部协作等制度，加强产业协作、消费协作和劳务协作，拓展协作新路径。</w:t>
      </w:r>
    </w:p>
    <w:p w14:paraId="66DA3913" w14:textId="77777777" w:rsidR="00080503" w:rsidRDefault="003A23BA">
      <w:pPr>
        <w:overflowPunct w:val="0"/>
        <w:spacing w:before="240" w:after="240" w:line="62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全面推进乡村振兴</w:t>
      </w:r>
    </w:p>
    <w:p w14:paraId="563D2E17"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坚持农业农村优先发展，突出农业产业规模化发展，片区化推进乡村振兴，提高强农惠农富农政策效能，促进农业高质高效、乡村宜居宜业、农民富裕富足。</w:t>
      </w:r>
    </w:p>
    <w:p w14:paraId="5EB59447"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推动农业产业规模化发展。</w:t>
      </w:r>
      <w:r>
        <w:rPr>
          <w:rFonts w:ascii="宋体" w:eastAsia="方正仿宋简体" w:hAnsi="宋体" w:cs="方正仿宋简体" w:hint="eastAsia"/>
          <w:sz w:val="32"/>
          <w:szCs w:val="32"/>
        </w:rPr>
        <w:t>加强重要农产品保供能力建设。重新划定粮食生产功能区，大力推进高标准农田建设，粮食总面积稳定在</w:t>
      </w:r>
      <w:r>
        <w:rPr>
          <w:rFonts w:ascii="宋体" w:eastAsia="方正仿宋简体" w:hAnsi="宋体" w:cs="方正仿宋简体" w:hint="eastAsia"/>
          <w:sz w:val="32"/>
          <w:szCs w:val="32"/>
        </w:rPr>
        <w:t>6.5</w:t>
      </w:r>
      <w:r>
        <w:rPr>
          <w:rFonts w:ascii="宋体" w:eastAsia="方正仿宋简体" w:hAnsi="宋体" w:cs="方正仿宋简体" w:hint="eastAsia"/>
          <w:sz w:val="32"/>
          <w:szCs w:val="32"/>
        </w:rPr>
        <w:t>万亩，总产量达到</w:t>
      </w:r>
      <w:r>
        <w:rPr>
          <w:rFonts w:ascii="宋体" w:eastAsia="方正仿宋简体" w:hAnsi="宋体" w:cs="方正仿宋简体" w:hint="eastAsia"/>
          <w:sz w:val="32"/>
          <w:szCs w:val="32"/>
        </w:rPr>
        <w:t>2.62</w:t>
      </w:r>
      <w:r>
        <w:rPr>
          <w:rFonts w:ascii="宋体" w:eastAsia="方正仿宋简体" w:hAnsi="宋体" w:cs="方正仿宋简体" w:hint="eastAsia"/>
          <w:sz w:val="32"/>
          <w:szCs w:val="32"/>
        </w:rPr>
        <w:t>万吨，农作物耕种收综合机械化率达到</w:t>
      </w:r>
      <w:r>
        <w:rPr>
          <w:rFonts w:ascii="宋体" w:eastAsia="方正仿宋简体" w:hAnsi="宋体" w:cs="方正仿宋简体" w:hint="eastAsia"/>
          <w:sz w:val="32"/>
          <w:szCs w:val="32"/>
        </w:rPr>
        <w:t>95%</w:t>
      </w:r>
      <w:r>
        <w:rPr>
          <w:rFonts w:ascii="宋体" w:eastAsia="方正仿宋简体" w:hAnsi="宋体" w:cs="方正仿宋简体" w:hint="eastAsia"/>
          <w:sz w:val="32"/>
          <w:szCs w:val="32"/>
        </w:rPr>
        <w:t>。结合全域土地综合整治项目、沃野兴农乡村振兴示范区项目，推动农业用地集中连片整治，引导农户开展“小田并大田”改造，集中打造“千亩方”、“万亩片”粮食功能区，到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年，土地流转（托管）面积达到</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万亩。严格落实耕地地力保护补贴等政策，积极争取单产提升、复合种植等种植项目，调动农民和社会主体种粮积极性。构建多元化食物供给体系，积</w:t>
      </w:r>
      <w:r>
        <w:rPr>
          <w:rFonts w:ascii="宋体" w:eastAsia="方正仿宋简体" w:hAnsi="宋体" w:cs="方正仿宋简体" w:hint="eastAsia"/>
          <w:sz w:val="32"/>
          <w:szCs w:val="32"/>
        </w:rPr>
        <w:lastRenderedPageBreak/>
        <w:t>极挖掘油料作物潜力，因地制宜发展杂粮薯类，引导畜禽养殖行业健康发展，持续提升“菜篮子”供给质量。</w:t>
      </w:r>
    </w:p>
    <w:p w14:paraId="6ED207E9" w14:textId="77777777" w:rsidR="00080503" w:rsidRDefault="003A23BA">
      <w:pPr>
        <w:overflowPunct w:val="0"/>
        <w:spacing w:line="620" w:lineRule="exact"/>
        <w:ind w:firstLineChars="200" w:firstLine="640"/>
        <w:rPr>
          <w:rFonts w:ascii="宋体" w:eastAsia="仿宋_GB2312" w:hAnsi="宋体" w:cs="仿宋_GB2312"/>
          <w:sz w:val="32"/>
        </w:rPr>
      </w:pPr>
      <w:r>
        <w:rPr>
          <w:rFonts w:ascii="宋体" w:eastAsia="方正仿宋简体" w:hAnsi="宋体" w:cs="方正仿宋简体" w:hint="eastAsia"/>
          <w:sz w:val="32"/>
          <w:szCs w:val="32"/>
        </w:rPr>
        <w:t>引导特色农业规模化发展。聚焦优势特色产业提质升级，持续提升蜜桃、花椒、蜜薯等产业发展质效，着力培植樱桃、酥梨（秋月梨）、苹果等特色种植产业联盟，强化抱团发展合力。重点打造“汶源蜜桃”、“老董种地”、“金谷小米”等区域特色农业品牌，增强产业核心竞争力。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年，全区瓜菜播种面积稳定在</w:t>
      </w:r>
      <w:r>
        <w:rPr>
          <w:rFonts w:ascii="宋体" w:eastAsia="方正仿宋简体" w:hAnsi="宋体" w:cs="方正仿宋简体" w:hint="eastAsia"/>
          <w:sz w:val="32"/>
          <w:szCs w:val="32"/>
        </w:rPr>
        <w:t>4.4</w:t>
      </w:r>
      <w:r>
        <w:rPr>
          <w:rFonts w:ascii="宋体" w:eastAsia="方正仿宋简体" w:hAnsi="宋体" w:cs="方正仿宋简体" w:hint="eastAsia"/>
          <w:sz w:val="32"/>
          <w:szCs w:val="32"/>
        </w:rPr>
        <w:t>万亩以上。实施“三黑”养殖扩量专项行动，打造规模化、标准化养殖示范基地，引领产业规范化发展，着力构建从育种、养殖、饲料供应，到屠宰加工、精深加工、冷链物流、品牌营销的全链条产业体系。到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年，黑猪、黑鸡、黑山羊存栏量分别稳定在</w:t>
      </w:r>
      <w:r>
        <w:rPr>
          <w:rFonts w:ascii="宋体" w:eastAsia="方正仿宋简体" w:hAnsi="宋体" w:cs="方正仿宋简体" w:hint="eastAsia"/>
          <w:sz w:val="32"/>
          <w:szCs w:val="32"/>
        </w:rPr>
        <w:t>2.5</w:t>
      </w:r>
      <w:r>
        <w:rPr>
          <w:rFonts w:ascii="宋体" w:eastAsia="方正仿宋简体" w:hAnsi="宋体" w:cs="方正仿宋简体" w:hint="eastAsia"/>
          <w:sz w:val="32"/>
          <w:szCs w:val="32"/>
        </w:rPr>
        <w:t>万头、</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万羽、</w:t>
      </w:r>
      <w:r>
        <w:rPr>
          <w:rFonts w:ascii="宋体" w:eastAsia="方正仿宋简体" w:hAnsi="宋体" w:cs="方正仿宋简体" w:hint="eastAsia"/>
          <w:sz w:val="32"/>
          <w:szCs w:val="32"/>
        </w:rPr>
        <w:t>1.5</w:t>
      </w:r>
      <w:r>
        <w:rPr>
          <w:rFonts w:ascii="宋体" w:eastAsia="方正仿宋简体" w:hAnsi="宋体" w:cs="方正仿宋简体" w:hint="eastAsia"/>
          <w:sz w:val="32"/>
          <w:szCs w:val="32"/>
        </w:rPr>
        <w:t>万只以上。</w:t>
      </w:r>
    </w:p>
    <w:p w14:paraId="55E57949"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培育壮大农业龙头企业。实施“龙头企业扩容计划”，推广“龙头企业＋合作社＋农户”模式，建立稳定利益联结机制，提速农业规模化发展进程。重点扶持农业开发企业、农业加工类企业、饲料加工企业、养殖类企业等一批农业企业发展壮大，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年，市级龙头企业数量达到</w:t>
      </w:r>
      <w:r>
        <w:rPr>
          <w:rFonts w:ascii="宋体" w:eastAsia="方正仿宋简体" w:hAnsi="宋体" w:cs="方正仿宋简体" w:hint="eastAsia"/>
          <w:sz w:val="32"/>
          <w:szCs w:val="32"/>
        </w:rPr>
        <w:t>40</w:t>
      </w:r>
      <w:r>
        <w:rPr>
          <w:rFonts w:ascii="宋体" w:eastAsia="方正仿宋简体" w:hAnsi="宋体" w:cs="方正仿宋简体" w:hint="eastAsia"/>
          <w:sz w:val="32"/>
          <w:szCs w:val="32"/>
        </w:rPr>
        <w:t>家，其中省级以上龙头企业突破</w:t>
      </w:r>
      <w:r>
        <w:rPr>
          <w:rFonts w:ascii="宋体" w:eastAsia="方正仿宋简体" w:hAnsi="宋体" w:cs="方正仿宋简体" w:hint="eastAsia"/>
          <w:sz w:val="32"/>
          <w:szCs w:val="32"/>
        </w:rPr>
        <w:t>3</w:t>
      </w:r>
      <w:r>
        <w:rPr>
          <w:rFonts w:ascii="宋体" w:eastAsia="方正仿宋简体" w:hAnsi="宋体" w:cs="方正仿宋简体" w:hint="eastAsia"/>
          <w:sz w:val="32"/>
          <w:szCs w:val="32"/>
        </w:rPr>
        <w:t>家。推进“三品一标”农产品认证，到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年，新认证</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个以上。大力培育家庭农场、农民合作社等新型经营主体，力争</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年合作社及家庭农场稳定在</w:t>
      </w:r>
      <w:r>
        <w:rPr>
          <w:rFonts w:ascii="宋体" w:eastAsia="方正仿宋简体" w:hAnsi="宋体" w:cs="方正仿宋简体" w:hint="eastAsia"/>
          <w:sz w:val="32"/>
          <w:szCs w:val="32"/>
        </w:rPr>
        <w:t>1000</w:t>
      </w:r>
      <w:r>
        <w:rPr>
          <w:rFonts w:ascii="宋体" w:eastAsia="方正仿宋简体" w:hAnsi="宋体" w:cs="方正仿宋简体" w:hint="eastAsia"/>
          <w:sz w:val="32"/>
          <w:szCs w:val="32"/>
        </w:rPr>
        <w:t>家左右。</w:t>
      </w:r>
    </w:p>
    <w:p w14:paraId="151EC675" w14:textId="77777777" w:rsidR="00080503" w:rsidRDefault="003A23BA">
      <w:pPr>
        <w:overflowPunct w:val="0"/>
        <w:spacing w:after="240"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打造济南畜禽种业核心片区。以省级现代农业产业园为基</w:t>
      </w:r>
      <w:r>
        <w:rPr>
          <w:rFonts w:ascii="宋体" w:eastAsia="方正仿宋简体" w:hAnsi="宋体" w:cs="方正仿宋简体" w:hint="eastAsia"/>
          <w:sz w:val="32"/>
          <w:szCs w:val="32"/>
        </w:rPr>
        <w:lastRenderedPageBreak/>
        <w:t>础，推进齐鲁未来“种”谷—现代农业产业园创建项目，联合山东省农业科学院，积极创建国家现代农业产业园，加快推进动物</w:t>
      </w:r>
      <w:r>
        <w:rPr>
          <w:rFonts w:ascii="宋体" w:eastAsia="方正仿宋简体" w:hAnsi="宋体" w:cs="方正仿宋简体" w:hint="eastAsia"/>
          <w:sz w:val="32"/>
          <w:szCs w:val="32"/>
        </w:rPr>
        <w:t>P3</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P2</w:t>
      </w:r>
      <w:r>
        <w:rPr>
          <w:rFonts w:ascii="宋体" w:eastAsia="方正仿宋简体" w:hAnsi="宋体" w:cs="方正仿宋简体" w:hint="eastAsia"/>
          <w:sz w:val="32"/>
          <w:szCs w:val="32"/>
        </w:rPr>
        <w:t>实验室、</w:t>
      </w:r>
      <w:r>
        <w:rPr>
          <w:rFonts w:ascii="宋体" w:eastAsia="方正仿宋简体" w:hAnsi="宋体" w:cs="方正仿宋简体" w:hint="eastAsia"/>
          <w:sz w:val="32"/>
          <w:szCs w:val="32"/>
        </w:rPr>
        <w:t>GLP/GCP</w:t>
      </w:r>
      <w:r>
        <w:rPr>
          <w:rFonts w:ascii="宋体" w:eastAsia="方正仿宋简体" w:hAnsi="宋体" w:cs="方正仿宋简体" w:hint="eastAsia"/>
          <w:sz w:val="32"/>
          <w:szCs w:val="32"/>
        </w:rPr>
        <w:t>平台、基因编辑中心建成运营，补齐兽药、疫苗、肉制品加工、检验检测服务产业链，培育、引进知名品牌企业不少于</w:t>
      </w:r>
      <w:r>
        <w:rPr>
          <w:rFonts w:ascii="宋体" w:eastAsia="方正仿宋简体" w:hAnsi="宋体" w:cs="方正仿宋简体" w:hint="eastAsia"/>
          <w:sz w:val="32"/>
          <w:szCs w:val="32"/>
        </w:rPr>
        <w:t>5</w:t>
      </w:r>
      <w:r>
        <w:rPr>
          <w:rFonts w:ascii="宋体" w:eastAsia="方正仿宋简体" w:hAnsi="宋体" w:cs="方正仿宋简体" w:hint="eastAsia"/>
          <w:sz w:val="32"/>
          <w:szCs w:val="32"/>
        </w:rPr>
        <w:t>家。大力推进种业振兴提质工程，建设钢城“三黑”种质资源库和保种繁育平台、白羽肉鸡种质资源基地，打造全市畜禽种业核心区。以“稳产保供、提质增效、绿色循环”为核心，推动畜牧养殖业向智慧化、生态化、品牌化、融合化转型升级，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年，生猪、家禽等主要畜禽规模化养殖率保持在</w:t>
      </w:r>
      <w:r>
        <w:rPr>
          <w:rFonts w:ascii="宋体" w:eastAsia="方正仿宋简体" w:hAnsi="宋体" w:cs="方正仿宋简体" w:hint="eastAsia"/>
          <w:sz w:val="32"/>
          <w:szCs w:val="32"/>
        </w:rPr>
        <w:t>80%</w:t>
      </w:r>
      <w:r>
        <w:rPr>
          <w:rFonts w:ascii="宋体" w:eastAsia="方正仿宋简体" w:hAnsi="宋体" w:cs="方正仿宋简体" w:hint="eastAsia"/>
          <w:sz w:val="32"/>
          <w:szCs w:val="32"/>
        </w:rPr>
        <w:t>，生猪存栏量稳定在</w:t>
      </w:r>
      <w:r>
        <w:rPr>
          <w:rFonts w:ascii="宋体" w:eastAsia="方正仿宋简体" w:hAnsi="宋体" w:cs="方正仿宋简体" w:hint="eastAsia"/>
          <w:sz w:val="32"/>
          <w:szCs w:val="32"/>
        </w:rPr>
        <w:t>12</w:t>
      </w:r>
      <w:r>
        <w:rPr>
          <w:rFonts w:ascii="宋体" w:eastAsia="方正仿宋简体" w:hAnsi="宋体" w:cs="方正仿宋简体" w:hint="eastAsia"/>
          <w:sz w:val="32"/>
          <w:szCs w:val="32"/>
        </w:rPr>
        <w:t>万头以上，家禽存栏量稳定在</w:t>
      </w:r>
      <w:r>
        <w:rPr>
          <w:rFonts w:ascii="宋体" w:eastAsia="方正仿宋简体" w:hAnsi="宋体" w:cs="方正仿宋简体" w:hint="eastAsia"/>
          <w:sz w:val="32"/>
          <w:szCs w:val="32"/>
        </w:rPr>
        <w:t>200</w:t>
      </w:r>
      <w:r>
        <w:rPr>
          <w:rFonts w:ascii="宋体" w:eastAsia="方正仿宋简体" w:hAnsi="宋体" w:cs="方正仿宋简体" w:hint="eastAsia"/>
          <w:sz w:val="32"/>
          <w:szCs w:val="32"/>
        </w:rPr>
        <w:t>万羽以上，牛羊存栏量稳定在</w:t>
      </w:r>
      <w:r>
        <w:rPr>
          <w:rFonts w:ascii="宋体" w:eastAsia="方正仿宋简体" w:hAnsi="宋体" w:cs="方正仿宋简体" w:hint="eastAsia"/>
          <w:sz w:val="32"/>
          <w:szCs w:val="32"/>
        </w:rPr>
        <w:t>6</w:t>
      </w:r>
      <w:r>
        <w:rPr>
          <w:rFonts w:ascii="宋体" w:eastAsia="方正仿宋简体" w:hAnsi="宋体" w:cs="方正仿宋简体" w:hint="eastAsia"/>
          <w:sz w:val="32"/>
          <w:szCs w:val="32"/>
        </w:rPr>
        <w:t>万头以上。</w:t>
      </w: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29"/>
      </w:tblGrid>
      <w:tr w:rsidR="00080503" w14:paraId="1C423004" w14:textId="77777777">
        <w:trPr>
          <w:trHeight w:val="680"/>
          <w:jc w:val="center"/>
        </w:trPr>
        <w:tc>
          <w:tcPr>
            <w:tcW w:w="8929" w:type="dxa"/>
            <w:tcBorders>
              <w:bottom w:val="single" w:sz="4" w:space="0" w:color="auto"/>
            </w:tcBorders>
            <w:vAlign w:val="center"/>
          </w:tcPr>
          <w:p w14:paraId="45003202" w14:textId="77777777" w:rsidR="00080503" w:rsidRDefault="003A23BA">
            <w:pPr>
              <w:overflowPunct w:val="0"/>
              <w:adjustRightInd w:val="0"/>
              <w:snapToGrid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lang w:val="zh-CN"/>
              </w:rPr>
              <w:t>专栏</w:t>
            </w:r>
            <w:r>
              <w:rPr>
                <w:rFonts w:ascii="宋体" w:eastAsia="黑体" w:hAnsi="宋体" w:cs="黑体" w:hint="eastAsia"/>
                <w:sz w:val="28"/>
                <w:szCs w:val="28"/>
              </w:rPr>
              <w:t xml:space="preserve">8  </w:t>
            </w:r>
            <w:r>
              <w:rPr>
                <w:rFonts w:ascii="宋体" w:eastAsia="黑体" w:hAnsi="宋体" w:cs="黑体" w:hint="eastAsia"/>
                <w:sz w:val="28"/>
                <w:szCs w:val="28"/>
              </w:rPr>
              <w:t>农业领域重点项目</w:t>
            </w:r>
          </w:p>
        </w:tc>
      </w:tr>
      <w:tr w:rsidR="00080503" w14:paraId="26C9598E" w14:textId="77777777">
        <w:trPr>
          <w:trHeight w:val="2315"/>
          <w:jc w:val="center"/>
        </w:trPr>
        <w:tc>
          <w:tcPr>
            <w:tcW w:w="8929" w:type="dxa"/>
            <w:tcBorders>
              <w:top w:val="single" w:sz="4" w:space="0" w:color="auto"/>
              <w:bottom w:val="single" w:sz="12" w:space="0" w:color="auto"/>
            </w:tcBorders>
            <w:vAlign w:val="center"/>
          </w:tcPr>
          <w:p w14:paraId="7417C57A"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仿宋简体" w:hAnsi="宋体" w:cs="方正仿宋简体" w:hint="eastAsia"/>
                <w:sz w:val="28"/>
                <w:szCs w:val="28"/>
              </w:rPr>
              <w:t>齐鲁未来“种”谷—国家现代农业产业园创建项目、沃野兴农乡村振兴示范建设项目、白羽肉鸡济南育种中心项目、钢城畜禽保种繁育基地建设四期项目、钢城区畜牧产业高质量发展综合建设项目、禾源沣农林废弃物气肥联产项目、绿野农牧二期项目、钢城温氏养殖扩产项目、</w:t>
            </w:r>
            <w:r>
              <w:rPr>
                <w:rFonts w:ascii="宋体" w:eastAsia="方正仿宋简体" w:hAnsi="宋体" w:cs="方正仿宋简体" w:hint="eastAsia"/>
                <w:sz w:val="28"/>
                <w:szCs w:val="28"/>
              </w:rPr>
              <w:t>5</w:t>
            </w:r>
            <w:r>
              <w:rPr>
                <w:rFonts w:ascii="宋体" w:eastAsia="方正仿宋简体" w:hAnsi="宋体" w:cs="方正仿宋简体" w:hint="eastAsia"/>
                <w:sz w:val="28"/>
                <w:szCs w:val="28"/>
              </w:rPr>
              <w:t>万亩粮食示范区及全产业链托管项目。</w:t>
            </w:r>
          </w:p>
        </w:tc>
      </w:tr>
    </w:tbl>
    <w:p w14:paraId="4E8BE1F5" w14:textId="77777777" w:rsidR="00080503" w:rsidRDefault="003A23BA">
      <w:pPr>
        <w:overflowPunct w:val="0"/>
        <w:spacing w:line="620"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建设宜居宜业和美乡村。</w:t>
      </w:r>
      <w:r>
        <w:rPr>
          <w:rFonts w:ascii="宋体" w:eastAsia="方正仿宋简体" w:hAnsi="宋体" w:cs="方正仿宋简体" w:hint="eastAsia"/>
          <w:sz w:val="32"/>
          <w:szCs w:val="32"/>
        </w:rPr>
        <w:t>加快泉韵乡居和美乡村片区建设。进一步提高乡村规划建设水平，健全村庄规划“多村联编”机制，优化乡村生产、生活、生态空间格局。统筹实施“印象棋山·和美里辛”、“汶水颜岸”“一崮三线五峪”、“青松里”“清水</w:t>
      </w:r>
      <w:r>
        <w:rPr>
          <w:rFonts w:ascii="宋体" w:eastAsia="方正仿宋简体" w:hAnsi="宋体" w:cs="方正仿宋简体" w:hint="eastAsia"/>
          <w:sz w:val="32"/>
          <w:szCs w:val="32"/>
        </w:rPr>
        <w:lastRenderedPageBreak/>
        <w:t>田园”五个片区规划建设，到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年，片区覆盖行政村达到</w:t>
      </w:r>
      <w:r>
        <w:rPr>
          <w:rFonts w:ascii="宋体" w:eastAsia="方正仿宋简体" w:hAnsi="宋体" w:cs="方正仿宋简体" w:hint="eastAsia"/>
          <w:sz w:val="32"/>
          <w:szCs w:val="32"/>
        </w:rPr>
        <w:t>60%</w:t>
      </w:r>
      <w:r>
        <w:rPr>
          <w:rFonts w:ascii="宋体" w:eastAsia="方正仿宋简体" w:hAnsi="宋体" w:cs="方正仿宋简体" w:hint="eastAsia"/>
          <w:sz w:val="32"/>
          <w:szCs w:val="32"/>
        </w:rPr>
        <w:t>。加快示范片区产业融合发展，深度挖掘本土历史文化资源，持续办好丰收节、桃花节等特色节庆活动，发挥山乡·花雨澜山、寄母山田园乡居等载体优势，深化农文旅深度融合，推动乡村生态“颜值”向经济“产值”转化。</w:t>
      </w:r>
    </w:p>
    <w:p w14:paraId="0CEC4B57"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推进农村人居环境综合整治。开展乡村绿化美化行动和村庄清洁行动，常态化推进农村基础设施补短板工程，突出农村生活污水治理、生活垃圾治理、村容村貌提升三大任务，运用信息化手段提升农村户厕管护水平，持续改善农村人居环境，推动所有行政村全部达到市级示范引领类标准。</w:t>
      </w:r>
    </w:p>
    <w:p w14:paraId="3AA42836" w14:textId="77777777" w:rsidR="00080503" w:rsidRDefault="003A23BA">
      <w:pPr>
        <w:overflowPunct w:val="0"/>
        <w:spacing w:line="62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提升乡村治理效能。坚持以党建引领乡村治理，夯实五级书记抓乡村振兴政治责任，健全党组织领导的村民自治机制，加强自治组织规范化建设。实施村务公开阳光工程，完善党务、村务、财务“三公开”制度。完善农村集体“三资”监管长效机制，通过推广信息化监管平台、建立常态化清理机制，规范合同、财务、债权债务管理及民主监督，提升“三资”管理水平，保障农村集体经济健康发展。加强新时代农村精神文明建设，深化“出彩人家”、“文明家庭”创建，推进移风易俗，培育文明乡风、良好家风、淳朴民风。</w:t>
      </w:r>
    </w:p>
    <w:p w14:paraId="6C08BD37" w14:textId="77777777" w:rsidR="00080503" w:rsidRDefault="00080503">
      <w:pPr>
        <w:overflowPunct w:val="0"/>
        <w:spacing w:line="620" w:lineRule="exact"/>
        <w:ind w:firstLineChars="200" w:firstLine="640"/>
        <w:rPr>
          <w:rFonts w:ascii="宋体" w:eastAsia="方正仿宋简体" w:hAnsi="宋体" w:cs="方正仿宋简体"/>
          <w:sz w:val="32"/>
          <w:szCs w:val="32"/>
        </w:rPr>
      </w:pPr>
    </w:p>
    <w:p w14:paraId="0C514801" w14:textId="77777777" w:rsidR="00080503" w:rsidRDefault="00080503">
      <w:pPr>
        <w:overflowPunct w:val="0"/>
        <w:spacing w:line="620" w:lineRule="exact"/>
        <w:ind w:firstLineChars="200" w:firstLine="640"/>
        <w:rPr>
          <w:rFonts w:ascii="宋体" w:eastAsia="方正仿宋简体" w:hAnsi="宋体" w:cs="方正仿宋简体"/>
          <w:sz w:val="32"/>
          <w:szCs w:val="32"/>
        </w:rPr>
      </w:pP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29"/>
      </w:tblGrid>
      <w:tr w:rsidR="00080503" w14:paraId="18582CF0" w14:textId="77777777">
        <w:trPr>
          <w:trHeight w:val="680"/>
          <w:jc w:val="center"/>
        </w:trPr>
        <w:tc>
          <w:tcPr>
            <w:tcW w:w="8929" w:type="dxa"/>
            <w:vAlign w:val="center"/>
          </w:tcPr>
          <w:p w14:paraId="67969E12" w14:textId="77777777" w:rsidR="00080503" w:rsidRDefault="003A23BA">
            <w:pPr>
              <w:overflowPunct w:val="0"/>
              <w:adjustRightInd w:val="0"/>
              <w:snapToGrid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lang w:val="zh-CN"/>
              </w:rPr>
              <w:lastRenderedPageBreak/>
              <w:t>专栏</w:t>
            </w:r>
            <w:r>
              <w:rPr>
                <w:rFonts w:ascii="宋体" w:eastAsia="黑体" w:hAnsi="宋体" w:cs="黑体" w:hint="eastAsia"/>
                <w:sz w:val="28"/>
                <w:szCs w:val="28"/>
              </w:rPr>
              <w:t xml:space="preserve">9  </w:t>
            </w:r>
            <w:r>
              <w:rPr>
                <w:rFonts w:ascii="宋体" w:eastAsia="黑体" w:hAnsi="宋体" w:cs="黑体" w:hint="eastAsia"/>
                <w:sz w:val="28"/>
                <w:szCs w:val="28"/>
              </w:rPr>
              <w:t>乡村振兴建设重点项目</w:t>
            </w:r>
          </w:p>
        </w:tc>
      </w:tr>
      <w:tr w:rsidR="00080503" w14:paraId="3152F031" w14:textId="77777777">
        <w:trPr>
          <w:trHeight w:val="2282"/>
          <w:jc w:val="center"/>
        </w:trPr>
        <w:tc>
          <w:tcPr>
            <w:tcW w:w="8929" w:type="dxa"/>
            <w:vAlign w:val="center"/>
          </w:tcPr>
          <w:p w14:paraId="6E53EB17"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仿宋简体" w:hAnsi="宋体" w:cs="方正仿宋简体" w:hint="eastAsia"/>
                <w:sz w:val="28"/>
                <w:szCs w:val="28"/>
              </w:rPr>
              <w:t>辛庄街道全域土地综合整治项目、里辛街道“印象棋山·和美里辛”项目、南部新城“一崮三线五峪”项目、颜庄街道“九龙观澜”项目、颜庄街道“汶水颜岸”项目、艾山街道“龙韵田园”项目、艾山街道“清水田园”项目。</w:t>
            </w:r>
          </w:p>
        </w:tc>
      </w:tr>
    </w:tbl>
    <w:p w14:paraId="37F027BE"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提高强农惠农富农政策效能。</w:t>
      </w:r>
      <w:r>
        <w:rPr>
          <w:rFonts w:ascii="宋体" w:eastAsia="方正仿宋简体" w:hAnsi="宋体" w:cs="方正仿宋简体" w:hint="eastAsia"/>
          <w:sz w:val="32"/>
          <w:szCs w:val="32"/>
        </w:rPr>
        <w:t>拓宽农民增收致富渠道。积极培育乡村富民主导产业，鼓励发展特色种植、特色餐饮、休闲旅游、农村电商等业态，推动农民就地就近转移就业。实施高素质农民培育计划，强化农业生产经营、乡村治理、农业农村科技等领域人才培养，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年，新推荐省市级乡村振兴人才</w:t>
      </w:r>
      <w:r>
        <w:rPr>
          <w:rFonts w:ascii="宋体" w:eastAsia="方正仿宋简体" w:hAnsi="宋体" w:cs="方正仿宋简体" w:hint="eastAsia"/>
          <w:sz w:val="32"/>
          <w:szCs w:val="32"/>
        </w:rPr>
        <w:t>25</w:t>
      </w:r>
      <w:r>
        <w:rPr>
          <w:rFonts w:ascii="宋体" w:eastAsia="方正仿宋简体" w:hAnsi="宋体" w:cs="方正仿宋简体" w:hint="eastAsia"/>
          <w:sz w:val="32"/>
          <w:szCs w:val="32"/>
        </w:rPr>
        <w:t>名以上，培育高素质农民</w:t>
      </w:r>
      <w:r>
        <w:rPr>
          <w:rFonts w:ascii="宋体" w:eastAsia="方正仿宋简体" w:hAnsi="宋体" w:cs="方正仿宋简体" w:hint="eastAsia"/>
          <w:sz w:val="32"/>
          <w:szCs w:val="32"/>
        </w:rPr>
        <w:t>500</w:t>
      </w:r>
      <w:r>
        <w:rPr>
          <w:rFonts w:ascii="宋体" w:eastAsia="方正仿宋简体" w:hAnsi="宋体" w:cs="方正仿宋简体" w:hint="eastAsia"/>
          <w:sz w:val="32"/>
          <w:szCs w:val="32"/>
        </w:rPr>
        <w:t>人以上，全区农民实用人才规模</w:t>
      </w:r>
      <w:r>
        <w:rPr>
          <w:rFonts w:ascii="宋体" w:eastAsia="方正仿宋简体" w:hAnsi="宋体" w:cs="方正仿宋简体" w:hint="eastAsia"/>
          <w:sz w:val="32"/>
          <w:szCs w:val="32"/>
        </w:rPr>
        <w:t>3000</w:t>
      </w:r>
      <w:r>
        <w:rPr>
          <w:rFonts w:ascii="宋体" w:eastAsia="方正仿宋简体" w:hAnsi="宋体" w:cs="方正仿宋简体" w:hint="eastAsia"/>
          <w:sz w:val="32"/>
          <w:szCs w:val="32"/>
        </w:rPr>
        <w:t>人以上，增强农村居民就业创业能力。落实农民工稳岗就业政策和权益保障机制。巩固拓展脱贫攻坚成果，健全常态化防止返贫致贫机制，建立农村低收入人口分层分类帮扶制度，做到应纳尽纳、应帮尽帮、应退尽退。</w:t>
      </w:r>
    </w:p>
    <w:p w14:paraId="40EF8B70"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深化农村综合改革。有序推进第二轮土地承包到期后再延长</w:t>
      </w:r>
      <w:r>
        <w:rPr>
          <w:rFonts w:ascii="宋体" w:eastAsia="方正仿宋简体" w:hAnsi="宋体" w:cs="方正仿宋简体" w:hint="eastAsia"/>
          <w:sz w:val="32"/>
          <w:szCs w:val="32"/>
        </w:rPr>
        <w:t>30</w:t>
      </w:r>
      <w:r>
        <w:rPr>
          <w:rFonts w:ascii="宋体" w:eastAsia="方正仿宋简体" w:hAnsi="宋体" w:cs="方正仿宋简体" w:hint="eastAsia"/>
          <w:sz w:val="32"/>
          <w:szCs w:val="32"/>
        </w:rPr>
        <w:t>年试点。节约集约利用农村集体经营性建设用地，依法盘活闲置土地、房屋等农村资源资产，分类保障乡村发展用地，实现全区行政村“三变”改革全覆盖。建立区农村产权交易平台，推进交易标准化规范化建设，实现农村集体资产资源流转进场公开交易“应进必进、阳光运行”。探索资产租赁、入股参股等壮大农</w:t>
      </w:r>
      <w:r>
        <w:rPr>
          <w:rFonts w:ascii="宋体" w:eastAsia="方正仿宋简体" w:hAnsi="宋体" w:cs="方正仿宋简体" w:hint="eastAsia"/>
          <w:sz w:val="32"/>
          <w:szCs w:val="32"/>
        </w:rPr>
        <w:lastRenderedPageBreak/>
        <w:t>村集体经济多元路径，为乡村全面振兴提供坚实支撑。</w:t>
      </w:r>
    </w:p>
    <w:p w14:paraId="060CC7DC"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加快城乡要素双向流动。健全财政优先保障、金融重点倾斜、社会积极参与的多元投入格局，确保乡村振兴投入力度不断增强。健全农业转移人口市民化政策体系，依法维护进城落户农民的土地承包权、宅基地使用权、集体收益分配权，推动符合条件的农业转移人口社会保险、住房保障、随迁子女义务教育等享有同迁入地户籍人口同等权利。完善科技成果入乡转化政策体系，深入推行科技特派员制度，推动技术要素规范有序向乡村流动。</w:t>
      </w:r>
    </w:p>
    <w:p w14:paraId="365428FA"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提高农村公共服务便利度。完善城乡公共服务协同推进机制，持续推动教育、医疗、养老托育、文化体育等公共资源向农村倾斜、社会事业向农村覆盖，推动城乡公共服务普惠共享。巩固城乡义务教育一体化发展成果，促进城乡教育资源均衡配置。健全乡村医疗卫生服务体系，加强区、街道、村三级传染病防控和应急处置能力建设。补齐农村养老托育服务短板。健全乡村公共体育和文化设施。建立区综合农事服务中心，推进农产品产地冷藏保鲜设施建设，持续发展乡村电商，推动产地保鲜与电商流通高效衔接，构建“保鲜提质＋流通增效”的全链条保障体系。</w:t>
      </w:r>
    </w:p>
    <w:p w14:paraId="67253EF5"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sz w:val="32"/>
          <w:szCs w:val="32"/>
        </w:rPr>
        <w:br w:type="page"/>
      </w:r>
    </w:p>
    <w:p w14:paraId="35321D66" w14:textId="77777777" w:rsidR="00080503" w:rsidRDefault="00080503">
      <w:pPr>
        <w:overflowPunct w:val="0"/>
        <w:spacing w:line="616" w:lineRule="exact"/>
        <w:jc w:val="center"/>
        <w:rPr>
          <w:rFonts w:ascii="方正小标宋简体" w:eastAsia="方正小标宋简体" w:hAnsi="宋体" w:cs="方正仿宋简体"/>
          <w:sz w:val="44"/>
          <w:szCs w:val="44"/>
        </w:rPr>
      </w:pPr>
    </w:p>
    <w:p w14:paraId="62643864" w14:textId="77777777" w:rsidR="00080503" w:rsidRDefault="003A23BA">
      <w:pPr>
        <w:overflowPunct w:val="0"/>
        <w:spacing w:line="616" w:lineRule="exact"/>
        <w:jc w:val="center"/>
        <w:rPr>
          <w:rFonts w:ascii="方正小标宋简体" w:eastAsia="方正小标宋简体" w:hAnsi="宋体" w:cs="方正小标宋简体"/>
          <w:spacing w:val="-6"/>
          <w:sz w:val="44"/>
          <w:szCs w:val="44"/>
        </w:rPr>
      </w:pPr>
      <w:r>
        <w:rPr>
          <w:rFonts w:ascii="方正小标宋简体" w:eastAsia="方正小标宋简体" w:hAnsi="宋体" w:cs="方正仿宋简体" w:hint="eastAsia"/>
          <w:sz w:val="44"/>
          <w:szCs w:val="44"/>
        </w:rPr>
        <w:t xml:space="preserve">第九章  </w:t>
      </w:r>
      <w:r>
        <w:rPr>
          <w:rFonts w:ascii="方正小标宋简体" w:eastAsia="方正小标宋简体" w:hAnsi="宋体" w:cs="方正小标宋简体" w:hint="eastAsia"/>
          <w:spacing w:val="-6"/>
          <w:sz w:val="44"/>
          <w:szCs w:val="44"/>
        </w:rPr>
        <w:t>全面推进绿色低碳转型</w:t>
      </w:r>
    </w:p>
    <w:p w14:paraId="55B80E85" w14:textId="77777777" w:rsidR="00080503" w:rsidRDefault="003A23BA">
      <w:pPr>
        <w:overflowPunct w:val="0"/>
        <w:spacing w:line="616"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pacing w:val="-6"/>
          <w:sz w:val="44"/>
          <w:szCs w:val="44"/>
        </w:rPr>
        <w:t>打造“山水之中、绿色钢城”</w:t>
      </w:r>
    </w:p>
    <w:p w14:paraId="3D6F6DBE" w14:textId="77777777" w:rsidR="00080503" w:rsidRDefault="00080503">
      <w:pPr>
        <w:overflowPunct w:val="0"/>
        <w:spacing w:line="616" w:lineRule="exact"/>
        <w:ind w:firstLineChars="200" w:firstLine="640"/>
        <w:rPr>
          <w:rFonts w:ascii="宋体" w:eastAsia="方正仿宋简体" w:hAnsi="宋体" w:cs="方正仿宋简体"/>
          <w:sz w:val="32"/>
          <w:szCs w:val="32"/>
        </w:rPr>
      </w:pPr>
    </w:p>
    <w:p w14:paraId="134D03FB"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坚持生态优先、绿色发展，牢固树立和践行绿水青山就是金山银山的理念，深入实施绿色钢城建设工程，协同推进降碳、减污、扩绿、增长，筑牢生态安全屏障，增强绿色发展动能。</w:t>
      </w:r>
    </w:p>
    <w:p w14:paraId="36B66703"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积极稳妥推进和实现碳达峰</w:t>
      </w:r>
    </w:p>
    <w:p w14:paraId="15F8A520" w14:textId="77777777" w:rsidR="00080503" w:rsidRDefault="003A23BA">
      <w:pPr>
        <w:overflowPunct w:val="0"/>
        <w:spacing w:line="616" w:lineRule="exact"/>
        <w:ind w:firstLineChars="200" w:firstLine="640"/>
        <w:rPr>
          <w:rFonts w:ascii="宋体" w:eastAsia="仿宋_GB2312" w:hAnsi="宋体" w:cs="仿宋_GB2312"/>
          <w:kern w:val="44"/>
          <w:sz w:val="32"/>
          <w:szCs w:val="48"/>
          <w:lang w:bidi="ar"/>
        </w:rPr>
      </w:pPr>
      <w:r>
        <w:rPr>
          <w:rFonts w:ascii="宋体" w:eastAsia="方正仿宋简体" w:hAnsi="宋体" w:cs="方正仿宋简体" w:hint="eastAsia"/>
          <w:sz w:val="32"/>
          <w:szCs w:val="32"/>
        </w:rPr>
        <w:t>坚持资源环境承载能力刚性约束，进一步健全资源总量管理和全面节约制度，加快建设绿色低碳循环发展的经济体系，深化生产生活方式绿色转型，实现绿色发展新跨越。</w:t>
      </w:r>
    </w:p>
    <w:p w14:paraId="21A1F772"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积极推进工业领域碳达峰。</w:t>
      </w:r>
      <w:r>
        <w:rPr>
          <w:rFonts w:ascii="宋体" w:eastAsia="方正仿宋简体" w:hAnsi="宋体" w:cs="方正仿宋简体" w:hint="eastAsia"/>
          <w:sz w:val="32"/>
          <w:szCs w:val="32"/>
        </w:rPr>
        <w:t>全面落实碳达峰实施方案，实施碳达峰“十大工程”，严格管控重点领域碳排放指标，加快推动能耗“双控”向碳排放“双控”转变。稳步推进节能减煤工作，持续优化能源利用结构，提高新能源供给比重，推进化石能源安全可靠有序替代。鼓励传统优势产业和重点用能企业设备更新和节能降碳改造，坚决遏制“两高一低”项目。开展绿色创新企业培育行动，加快培育绿色技术创新龙头企业和绿色工厂，山东济南钢城经济开发区创建省级零碳园区。</w:t>
      </w:r>
    </w:p>
    <w:p w14:paraId="438E0BC7"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健全碳排放管理体系。</w:t>
      </w:r>
      <w:r>
        <w:rPr>
          <w:rFonts w:ascii="宋体" w:eastAsia="方正仿宋简体" w:hAnsi="宋体" w:cs="方正仿宋简体" w:hint="eastAsia"/>
          <w:sz w:val="32"/>
          <w:szCs w:val="32"/>
        </w:rPr>
        <w:t>落实碳排放总量和强度双控制度，稳</w:t>
      </w:r>
      <w:r>
        <w:rPr>
          <w:rFonts w:ascii="宋体" w:eastAsia="方正仿宋简体" w:hAnsi="宋体" w:cs="方正仿宋简体" w:hint="eastAsia"/>
          <w:sz w:val="32"/>
          <w:szCs w:val="32"/>
        </w:rPr>
        <w:lastRenderedPageBreak/>
        <w:t>步实施行业碳管控、企业碳管理、项目碳评价制度，实施重点行业分级分类管理，确保碳排放强度持续下降。聚焦钢铁、水泥等重点行业，积极参与全国碳排放权交易市场建设。落实碳排放统计核算制度，健全重点领域碳排放统计监测和生态系统碳汇核算。完善碳足迹管理，开展重点产品全生命周期碳足迹核算，实施产品碳标识认证。</w:t>
      </w:r>
    </w:p>
    <w:p w14:paraId="002A4393"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大力引导绿色消费生活方式。</w:t>
      </w:r>
      <w:r>
        <w:rPr>
          <w:rFonts w:ascii="宋体" w:eastAsia="方正仿宋简体" w:hAnsi="宋体" w:cs="方正仿宋简体" w:hint="eastAsia"/>
          <w:sz w:val="32"/>
          <w:szCs w:val="32"/>
        </w:rPr>
        <w:t>倡导绿色生活方式，深入开展全民节能行动，推动绿色生活方式成为新时尚。加大既有建筑节能改造力度，推广绿色建材、绿色建造和绿色住宅。推行绿色出行、绿色消费、绿色餐饮，增强全民生态文化自觉性，持续引导社会各界形成勤俭节约、绿色低碳、文明健康的工作和生活方式。加快构建新能源汽车充电服务体系，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年，建成充电站</w:t>
      </w:r>
      <w:r>
        <w:rPr>
          <w:rFonts w:ascii="宋体" w:eastAsia="方正仿宋简体" w:hAnsi="宋体" w:cs="方正仿宋简体" w:hint="eastAsia"/>
          <w:sz w:val="32"/>
          <w:szCs w:val="32"/>
        </w:rPr>
        <w:t>120</w:t>
      </w:r>
      <w:r>
        <w:rPr>
          <w:rFonts w:ascii="宋体" w:eastAsia="方正仿宋简体" w:hAnsi="宋体" w:cs="方正仿宋简体" w:hint="eastAsia"/>
          <w:sz w:val="32"/>
          <w:szCs w:val="32"/>
        </w:rPr>
        <w:t>个、充电桩</w:t>
      </w:r>
      <w:r>
        <w:rPr>
          <w:rFonts w:ascii="宋体" w:eastAsia="方正仿宋简体" w:hAnsi="宋体" w:cs="方正仿宋简体" w:hint="eastAsia"/>
          <w:sz w:val="32"/>
          <w:szCs w:val="32"/>
        </w:rPr>
        <w:t>850</w:t>
      </w:r>
      <w:r>
        <w:rPr>
          <w:rFonts w:ascii="宋体" w:eastAsia="方正仿宋简体" w:hAnsi="宋体" w:cs="方正仿宋简体" w:hint="eastAsia"/>
          <w:sz w:val="32"/>
          <w:szCs w:val="32"/>
        </w:rPr>
        <w:t>个，全面打造新能源汽车“</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公里充电圈”。增加绿色消费产品有效供给，开展汽车、家电以旧换新和推动家装消费品换新行动。加强生态文明宣传教育，开展绿色创建系列行动，引导公众践行绿色生活方式和消费模式。</w:t>
      </w:r>
    </w:p>
    <w:p w14:paraId="18013904"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构建清洁能源和能源安全保障体系</w:t>
      </w:r>
    </w:p>
    <w:p w14:paraId="6C909330"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以“绿色化、智能化、协同化”为核心，促进清洁能源高质量发展，加强化石能源清洁高效利用，全面提升电力系统互补互济和安全韧性水平，加快构建清洁低碳、安全高效的新型能源体</w:t>
      </w:r>
      <w:r>
        <w:rPr>
          <w:rFonts w:ascii="宋体" w:eastAsia="方正仿宋简体" w:hAnsi="宋体" w:cs="方正仿宋简体" w:hint="eastAsia"/>
          <w:sz w:val="32"/>
          <w:szCs w:val="32"/>
        </w:rPr>
        <w:lastRenderedPageBreak/>
        <w:t>系。</w:t>
      </w:r>
    </w:p>
    <w:p w14:paraId="52B84682"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加快构建新型电力系统。</w:t>
      </w:r>
      <w:r>
        <w:rPr>
          <w:rFonts w:ascii="宋体" w:eastAsia="方正仿宋简体" w:hAnsi="宋体" w:cs="方正仿宋简体" w:hint="eastAsia"/>
          <w:sz w:val="32"/>
          <w:szCs w:val="32"/>
        </w:rPr>
        <w:t>加强智能电网建设，建设</w:t>
      </w:r>
      <w:r>
        <w:rPr>
          <w:rFonts w:ascii="宋体" w:eastAsia="方正仿宋简体" w:hAnsi="宋体" w:cs="方正仿宋简体" w:hint="eastAsia"/>
          <w:sz w:val="32"/>
          <w:szCs w:val="32"/>
        </w:rPr>
        <w:t>110KV</w:t>
      </w:r>
      <w:r>
        <w:rPr>
          <w:rFonts w:ascii="宋体" w:eastAsia="方正仿宋简体" w:hAnsi="宋体" w:cs="方正仿宋简体" w:hint="eastAsia"/>
          <w:sz w:val="32"/>
          <w:szCs w:val="32"/>
        </w:rPr>
        <w:t>朝阳变电站和</w:t>
      </w:r>
      <w:r>
        <w:rPr>
          <w:rFonts w:ascii="宋体" w:eastAsia="方正仿宋简体" w:hAnsi="宋体" w:cs="方正仿宋简体" w:hint="eastAsia"/>
          <w:sz w:val="32"/>
          <w:szCs w:val="32"/>
        </w:rPr>
        <w:t>220KV</w:t>
      </w:r>
      <w:r>
        <w:rPr>
          <w:rFonts w:ascii="宋体" w:eastAsia="方正仿宋简体" w:hAnsi="宋体" w:cs="方正仿宋简体" w:hint="eastAsia"/>
          <w:sz w:val="32"/>
          <w:szCs w:val="32"/>
        </w:rPr>
        <w:t>田庄变电站，全面提升城区及工业园区电力承载能力。依托棋山、双龙变电站，加快新型储能项目建设，推动智能电网、微电网、虚拟电厂、源网荷储一体化等加快发展，促进新能源开发消纳和电力系统安全稳定运行。支持山钢加快虚拟电厂项目建设，构建“企业主导、平台聚合、电网协同”的新模式，实现电力能源高效利用。统筹构建立体化、多层次、全场景智慧充换电网络，实现重点应用区域全覆盖。</w:t>
      </w:r>
    </w:p>
    <w:p w14:paraId="488993DB"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推动新能源集成融合发展。</w:t>
      </w:r>
      <w:r>
        <w:rPr>
          <w:rFonts w:ascii="宋体" w:eastAsia="方正仿宋简体" w:hAnsi="宋体" w:cs="方正仿宋简体" w:hint="eastAsia"/>
          <w:sz w:val="32"/>
          <w:szCs w:val="32"/>
        </w:rPr>
        <w:t>有序推动新能源和可再生能源一体化发展，鼓励新建工业厂房、公共建筑等布局光伏设施。以构建“光伏、风电＋储能＋多元应用”协同体系为核心，加快推进山钢</w:t>
      </w:r>
      <w:r>
        <w:rPr>
          <w:rFonts w:ascii="宋体" w:eastAsia="方正仿宋简体" w:hAnsi="宋体" w:cs="方正仿宋简体" w:hint="eastAsia"/>
          <w:sz w:val="32"/>
          <w:szCs w:val="32"/>
        </w:rPr>
        <w:t>88MW</w:t>
      </w:r>
      <w:r>
        <w:rPr>
          <w:rFonts w:ascii="宋体" w:eastAsia="方正仿宋简体" w:hAnsi="宋体" w:cs="方正仿宋简体" w:hint="eastAsia"/>
          <w:sz w:val="32"/>
          <w:szCs w:val="32"/>
        </w:rPr>
        <w:t>屋顶工商业光伏项目和金雷、鲁银分散式风电项目。加强工业余热梯级利用，鼓励企业建设余热集中供暖、工业供汽等配套工程，提高余热资源回收利用效率。</w:t>
      </w:r>
    </w:p>
    <w:p w14:paraId="756DC55F" w14:textId="77777777" w:rsidR="00080503" w:rsidRDefault="003A23BA">
      <w:pPr>
        <w:overflowPunct w:val="0"/>
        <w:spacing w:after="240"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保障能源安全稳定供应。</w:t>
      </w:r>
      <w:r>
        <w:rPr>
          <w:rFonts w:ascii="宋体" w:eastAsia="方正仿宋简体" w:hAnsi="宋体" w:cs="方正仿宋简体" w:hint="eastAsia"/>
          <w:sz w:val="32"/>
          <w:szCs w:val="32"/>
        </w:rPr>
        <w:t>聚焦能源保供安全底线，以智能化、协同化、应急化建设为抓手，全面提升电力、燃气等关键能源基础设施安全防护与应急保障能力。强化电力设施及重要输电通道的全方位、智能化防护，完善跨部门协同保护机制。健全大面积停电风险防控与应急响应体系，加强与周边地区电力部门、山钢集团等重点企业的应急协同演练，提升极端天气、重大故障等情</w:t>
      </w:r>
      <w:r>
        <w:rPr>
          <w:rFonts w:ascii="宋体" w:eastAsia="方正仿宋简体" w:hAnsi="宋体" w:cs="方正仿宋简体" w:hint="eastAsia"/>
          <w:sz w:val="32"/>
          <w:szCs w:val="32"/>
        </w:rPr>
        <w:lastRenderedPageBreak/>
        <w:t>景下的快速抢修、负荷转移与应急保供能力。加快推进“莱芜—沂源”、“泗水—沂水”天然气管道项目建设，提升天然气保障能力。</w:t>
      </w: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29"/>
      </w:tblGrid>
      <w:tr w:rsidR="00080503" w14:paraId="4720C92A" w14:textId="77777777">
        <w:trPr>
          <w:trHeight w:val="680"/>
          <w:jc w:val="center"/>
        </w:trPr>
        <w:tc>
          <w:tcPr>
            <w:tcW w:w="8929" w:type="dxa"/>
            <w:vAlign w:val="center"/>
          </w:tcPr>
          <w:p w14:paraId="44DCD7F3" w14:textId="77777777" w:rsidR="00080503" w:rsidRDefault="003A23BA">
            <w:pPr>
              <w:overflowPunct w:val="0"/>
              <w:adjustRightInd w:val="0"/>
              <w:snapToGrid w:val="0"/>
              <w:spacing w:line="480" w:lineRule="exact"/>
              <w:jc w:val="center"/>
              <w:rPr>
                <w:rFonts w:ascii="宋体" w:eastAsia="方正楷体简体" w:hAnsi="宋体" w:cs="方正楷体简体"/>
                <w:sz w:val="28"/>
                <w:szCs w:val="28"/>
              </w:rPr>
            </w:pPr>
            <w:r>
              <w:rPr>
                <w:rFonts w:ascii="宋体" w:eastAsia="黑体" w:hAnsi="宋体" w:cs="黑体" w:hint="eastAsia"/>
                <w:sz w:val="28"/>
                <w:szCs w:val="28"/>
                <w:lang w:val="zh-CN"/>
              </w:rPr>
              <w:t>专栏</w:t>
            </w:r>
            <w:r>
              <w:rPr>
                <w:rFonts w:ascii="宋体" w:eastAsia="黑体" w:hAnsi="宋体" w:cs="黑体" w:hint="eastAsia"/>
                <w:sz w:val="28"/>
                <w:szCs w:val="28"/>
              </w:rPr>
              <w:t xml:space="preserve">10  </w:t>
            </w:r>
            <w:r>
              <w:rPr>
                <w:rFonts w:ascii="宋体" w:eastAsia="黑体" w:hAnsi="宋体" w:cs="黑体" w:hint="eastAsia"/>
                <w:sz w:val="28"/>
                <w:szCs w:val="28"/>
              </w:rPr>
              <w:t>能源领域重点项目</w:t>
            </w:r>
          </w:p>
        </w:tc>
      </w:tr>
      <w:tr w:rsidR="00080503" w14:paraId="47A332E8" w14:textId="77777777" w:rsidTr="00DB4401">
        <w:trPr>
          <w:trHeight w:val="3857"/>
          <w:jc w:val="center"/>
        </w:trPr>
        <w:tc>
          <w:tcPr>
            <w:tcW w:w="8929" w:type="dxa"/>
            <w:vAlign w:val="center"/>
          </w:tcPr>
          <w:p w14:paraId="7A438367"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楷体简体" w:hAnsi="宋体" w:cs="方正楷体简体" w:hint="eastAsia"/>
                <w:sz w:val="28"/>
                <w:szCs w:val="28"/>
              </w:rPr>
              <w:t>构建新型电力系统：</w:t>
            </w:r>
            <w:r>
              <w:rPr>
                <w:rFonts w:ascii="宋体" w:eastAsia="方正仿宋简体" w:hAnsi="宋体" w:cs="方正仿宋简体" w:hint="eastAsia"/>
                <w:sz w:val="28"/>
                <w:szCs w:val="28"/>
              </w:rPr>
              <w:t>110KV</w:t>
            </w:r>
            <w:r>
              <w:rPr>
                <w:rFonts w:ascii="宋体" w:eastAsia="方正仿宋简体" w:hAnsi="宋体" w:cs="方正仿宋简体" w:hint="eastAsia"/>
                <w:sz w:val="28"/>
                <w:szCs w:val="28"/>
              </w:rPr>
              <w:t>朝阳变电站、</w:t>
            </w:r>
            <w:r>
              <w:rPr>
                <w:rFonts w:ascii="宋体" w:eastAsia="方正仿宋简体" w:hAnsi="宋体" w:cs="方正仿宋简体" w:hint="eastAsia"/>
                <w:sz w:val="28"/>
                <w:szCs w:val="28"/>
              </w:rPr>
              <w:t>220KV</w:t>
            </w:r>
            <w:r>
              <w:rPr>
                <w:rFonts w:ascii="宋体" w:eastAsia="方正仿宋简体" w:hAnsi="宋体" w:cs="方正仿宋简体" w:hint="eastAsia"/>
                <w:sz w:val="28"/>
                <w:szCs w:val="28"/>
              </w:rPr>
              <w:t>田庄变电站、棋山储能项目、双龙储能项目、钢城区全域充电桩体系建设项目。</w:t>
            </w:r>
          </w:p>
          <w:p w14:paraId="41E9F015"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楷体简体" w:hAnsi="宋体" w:cs="方正楷体简体" w:hint="eastAsia"/>
                <w:sz w:val="28"/>
                <w:szCs w:val="28"/>
              </w:rPr>
              <w:t>新能源集成融合发展：</w:t>
            </w:r>
            <w:r>
              <w:rPr>
                <w:rFonts w:ascii="宋体" w:eastAsia="方正仿宋简体" w:hAnsi="宋体" w:cs="方正仿宋简体" w:hint="eastAsia"/>
                <w:sz w:val="28"/>
                <w:szCs w:val="28"/>
              </w:rPr>
              <w:t>山钢股份</w:t>
            </w:r>
            <w:r>
              <w:rPr>
                <w:rFonts w:ascii="宋体" w:eastAsia="方正仿宋简体" w:hAnsi="宋体" w:cs="方正仿宋简体" w:hint="eastAsia"/>
                <w:sz w:val="28"/>
                <w:szCs w:val="28"/>
              </w:rPr>
              <w:t>88MW</w:t>
            </w:r>
            <w:r>
              <w:rPr>
                <w:rFonts w:ascii="宋体" w:eastAsia="方正仿宋简体" w:hAnsi="宋体" w:cs="方正仿宋简体" w:hint="eastAsia"/>
                <w:sz w:val="28"/>
                <w:szCs w:val="28"/>
              </w:rPr>
              <w:t>屋顶工商业光伏发电项目、金雷新能源</w:t>
            </w:r>
            <w:r>
              <w:rPr>
                <w:rFonts w:ascii="宋体" w:eastAsia="方正仿宋简体" w:hAnsi="宋体" w:cs="方正仿宋简体" w:hint="eastAsia"/>
                <w:sz w:val="28"/>
                <w:szCs w:val="28"/>
              </w:rPr>
              <w:t>18.75MW</w:t>
            </w:r>
            <w:r>
              <w:rPr>
                <w:rFonts w:ascii="宋体" w:eastAsia="方正仿宋简体" w:hAnsi="宋体" w:cs="方正仿宋简体" w:hint="eastAsia"/>
                <w:sz w:val="28"/>
                <w:szCs w:val="28"/>
              </w:rPr>
              <w:t>分散式风电项目、山钢股份</w:t>
            </w:r>
            <w:r>
              <w:rPr>
                <w:rFonts w:ascii="宋体" w:eastAsia="方正仿宋简体" w:hAnsi="宋体" w:cs="方正仿宋简体" w:hint="eastAsia"/>
                <w:sz w:val="28"/>
                <w:szCs w:val="28"/>
              </w:rPr>
              <w:t>145MW</w:t>
            </w:r>
            <w:r>
              <w:rPr>
                <w:rFonts w:ascii="宋体" w:eastAsia="方正仿宋简体" w:hAnsi="宋体" w:cs="方正仿宋简体" w:hint="eastAsia"/>
                <w:sz w:val="28"/>
                <w:szCs w:val="28"/>
              </w:rPr>
              <w:t>高效超临界煤气资源综合利用发电项目、钢城区北部片区供热管线更新改造项目、钢城区供暖管线老化更新改造项目、山东济南钢城经济开发区产业园球团余热深度回收综合利用项目。</w:t>
            </w:r>
          </w:p>
          <w:p w14:paraId="310C0352"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楷体简体" w:hAnsi="宋体" w:cs="方正楷体简体" w:hint="eastAsia"/>
                <w:sz w:val="28"/>
                <w:szCs w:val="28"/>
              </w:rPr>
              <w:t>保障能源稳定供应：</w:t>
            </w:r>
            <w:r>
              <w:rPr>
                <w:rFonts w:ascii="宋体" w:eastAsia="方正仿宋简体" w:hAnsi="宋体" w:cs="方正仿宋简体" w:hint="eastAsia"/>
                <w:sz w:val="28"/>
                <w:szCs w:val="28"/>
              </w:rPr>
              <w:t>“莱芜—沂源”天然气干线项目、“泗水—沂水”天然气管道项目（二期）。</w:t>
            </w:r>
          </w:p>
        </w:tc>
      </w:tr>
    </w:tbl>
    <w:p w14:paraId="6FB3D267"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持续深入推进污染防治攻坚</w:t>
      </w:r>
    </w:p>
    <w:p w14:paraId="45C88602" w14:textId="77777777" w:rsidR="00080503" w:rsidRDefault="003A23BA">
      <w:pPr>
        <w:overflowPunct w:val="0"/>
        <w:spacing w:line="616" w:lineRule="exact"/>
        <w:ind w:firstLineChars="200" w:firstLine="640"/>
        <w:rPr>
          <w:rFonts w:ascii="宋体" w:eastAsia="仿宋_GB2312" w:hAnsi="宋体" w:cs="仿宋_GB2312"/>
          <w:kern w:val="44"/>
          <w:sz w:val="32"/>
          <w:szCs w:val="48"/>
          <w:lang w:bidi="ar"/>
        </w:rPr>
      </w:pPr>
      <w:r>
        <w:rPr>
          <w:rFonts w:ascii="宋体" w:eastAsia="方正仿宋简体" w:hAnsi="宋体" w:cs="方正仿宋简体" w:hint="eastAsia"/>
          <w:sz w:val="32"/>
          <w:szCs w:val="32"/>
        </w:rPr>
        <w:t>深入打好污染防治攻坚战，进一步加强环境污染综合治理，有效防控重大环境风险，推进生态环境治理体系和治理能力现代化。</w:t>
      </w:r>
    </w:p>
    <w:p w14:paraId="0E87B974"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持续加大大气污染防治力度。</w:t>
      </w:r>
      <w:r>
        <w:rPr>
          <w:rFonts w:ascii="宋体" w:eastAsia="方正仿宋简体" w:hAnsi="宋体" w:cs="方正仿宋简体" w:hint="eastAsia"/>
          <w:sz w:val="32"/>
          <w:szCs w:val="32"/>
        </w:rPr>
        <w:t>强化多污染物协同控制和区域协作防治，完善重污染天气应对机制。推进</w:t>
      </w:r>
      <w:r>
        <w:rPr>
          <w:rFonts w:ascii="宋体" w:eastAsia="方正仿宋简体" w:hAnsi="宋体" w:cs="方正仿宋简体" w:hint="eastAsia"/>
          <w:sz w:val="32"/>
          <w:szCs w:val="32"/>
        </w:rPr>
        <w:t>PM</w:t>
      </w:r>
      <w:r>
        <w:rPr>
          <w:rFonts w:ascii="宋体" w:eastAsia="方正仿宋简体" w:hAnsi="宋体" w:cs="方正仿宋简体" w:hint="eastAsia"/>
          <w:sz w:val="32"/>
          <w:szCs w:val="32"/>
          <w:vertAlign w:val="subscript"/>
        </w:rPr>
        <w:t>2.5</w:t>
      </w:r>
      <w:r>
        <w:rPr>
          <w:rFonts w:ascii="宋体" w:eastAsia="方正仿宋简体" w:hAnsi="宋体" w:cs="方正仿宋简体" w:hint="eastAsia"/>
          <w:sz w:val="32"/>
          <w:szCs w:val="32"/>
        </w:rPr>
        <w:t>和臭氧浓度“双控双减”，减少碳排放和协同治理雾霾污染，消除重污染天气。严控“两高”行业产能，严格落实产能置换和污染物总量替代要求，巩固重点企业超低排放改造成果，加强钢铁、焦化、水泥等</w:t>
      </w:r>
      <w:r>
        <w:rPr>
          <w:rFonts w:ascii="宋体" w:eastAsia="方正仿宋简体" w:hAnsi="宋体" w:cs="方正仿宋简体" w:hint="eastAsia"/>
          <w:sz w:val="32"/>
          <w:szCs w:val="32"/>
        </w:rPr>
        <w:lastRenderedPageBreak/>
        <w:t>工业污染源深度治理。深入推进工业窑炉整治，完成石灰窑产业集群改造任务。推进重点行业挥发性有机物治理，开展涂装、印刷、家具制造、汽修等行业原辅材料源头替代。强化扬尘源、移动源精细化管控，持续开展商砼、石灰、钢渣处理、耐火材料等行业无组织排放治理，严格落实施工工地、建筑垃圾消纳场、露天矿山等扬尘防治措施，持续推进国二及以下标准老旧汽油车报废更新，完成淘汰国四及以下排放标准柴油货车和国二及以下排放标准非道路移动机械任务。加强秸秆综合利用和氨排放控制，建立网格化监管制度，开展秸秆禁烧专项巡查。</w:t>
      </w:r>
    </w:p>
    <w:p w14:paraId="3CA50989"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协同推进水环境综合治理。</w:t>
      </w:r>
      <w:r>
        <w:rPr>
          <w:rFonts w:ascii="宋体" w:eastAsia="方正仿宋简体" w:hAnsi="宋体" w:cs="方正仿宋简体" w:hint="eastAsia"/>
          <w:sz w:val="32"/>
          <w:szCs w:val="32"/>
        </w:rPr>
        <w:t>统筹做好“水安全、水资源、水生态、水文化”四篇文章，确保地表水国考、省考断面水质达标。推进城市雨污分流改造，全面完成第一、第二污水处理厂提标改造。针对重点水污染排放企业，强化节能减排和节水技术改造，提高能耗、水耗、清洁生产等标准，完善工业园区污水管网，补齐环境基础设施短板。加强对双山河、颜庄河等河流周边污染源的日常巡查，做好问题溯源整改。持续推进饮用水水源达标治理，严格保护水源地环境，开展饮用水水源地保护区整治与生态修复和湖库型水源地富营养化与水化防治工程，确保饮水安全。全面实施“全域治理、全河（湖）达标”行动，大幅提升地表水优良比例。加大河道巡查管护力度，动态清理河湖“四乱”。加强农村生活污水处理设施建设及运营管护，完善污水管网建设，提升</w:t>
      </w:r>
      <w:r>
        <w:rPr>
          <w:rFonts w:ascii="宋体" w:eastAsia="方正仿宋简体" w:hAnsi="宋体" w:cs="方正仿宋简体" w:hint="eastAsia"/>
          <w:sz w:val="32"/>
          <w:szCs w:val="32"/>
        </w:rPr>
        <w:lastRenderedPageBreak/>
        <w:t>污水治理效能。</w:t>
      </w:r>
    </w:p>
    <w:p w14:paraId="0DDB3E58"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实施固体废物综合治理行动。</w:t>
      </w:r>
      <w:r>
        <w:rPr>
          <w:rFonts w:ascii="宋体" w:eastAsia="方正仿宋简体" w:hAnsi="宋体" w:cs="方正仿宋简体" w:hint="eastAsia"/>
          <w:sz w:val="32"/>
          <w:szCs w:val="32"/>
        </w:rPr>
        <w:t>推动固废源头减量，以钢铁、建材等行业为重点，推动企业技术装备升级，实现冶炼渣、尾矿、污泥等固体废物源头减量，降低全区固体废物产生强度。提升冶炼渣、尾矿、脱硫石膏、建筑垃圾综合利用能力，加强有价组分高效提取及整体利用。开展非法倾倒处置固体废物、建筑垃圾等专项整治。全面摸清一般工业固体废物堆存场所底数，逐步解决历史遗留问题。加强大宗工业固体废物无害化预处理，探索通过井下充填、矿坑回填、生态修复等方式，规模化消纳利用大宗工业固体废物，降低贮存填埋量和环境污染风险。</w:t>
      </w:r>
    </w:p>
    <w:p w14:paraId="6A220C20"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提升土壤污染治理水平。</w:t>
      </w:r>
      <w:r>
        <w:rPr>
          <w:rFonts w:ascii="宋体" w:eastAsia="方正仿宋简体" w:hAnsi="宋体" w:cs="方正仿宋简体" w:hint="eastAsia"/>
          <w:sz w:val="32"/>
          <w:szCs w:val="32"/>
        </w:rPr>
        <w:t>开展土壤污染状况详查，建立土壤环境数据库。建立优先修复的场地清单，实施污染场地治理修复工程，扩大典型污染土壤修复试点范围。严格控制在优先保护类耕地集中区域新建有色金属冶炼、化工、焦化、电镀等排放重金属、持久性有机物和挥发性有机物项目。建立健全在产企业建设用地土壤污染预防机制，加强环境影响评价事中事后监管。建设完善土壤环境监测网络及监管制度，重点构建污染场地环境全过程监管体系。</w:t>
      </w:r>
    </w:p>
    <w:p w14:paraId="4734D4A2"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加强危险废物及新污染物治理。</w:t>
      </w:r>
      <w:r>
        <w:rPr>
          <w:rFonts w:ascii="宋体" w:eastAsia="方正仿宋简体" w:hAnsi="宋体" w:cs="方正仿宋简体" w:hint="eastAsia"/>
          <w:sz w:val="32"/>
          <w:szCs w:val="32"/>
        </w:rPr>
        <w:t>提升危险废物收集与利用处置能力，对产废企业开展拉网式、起底式调查，全面摸清危险废物产生、贮存和利用处置以及环境管理现状。实施涉重企业综合</w:t>
      </w:r>
      <w:r>
        <w:rPr>
          <w:rFonts w:ascii="宋体" w:eastAsia="方正仿宋简体" w:hAnsi="宋体" w:cs="方正仿宋简体" w:hint="eastAsia"/>
          <w:sz w:val="32"/>
          <w:szCs w:val="32"/>
        </w:rPr>
        <w:lastRenderedPageBreak/>
        <w:t>治理，开展排查整治，确保重金属污染物稳定达标排放。建立健全废弃有毒有害化学物质管理制度，推动部门间信息数据共享，加强联合检查。强化新化学物质环境管理登记，将新污染物治理内容纳入“双随机、一公开”综合执法检查，严格钢铁、焦化等行业新污染物环境风险管控。</w:t>
      </w:r>
    </w:p>
    <w:p w14:paraId="5E83185B"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第四节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加强生态系统保护修复</w:t>
      </w:r>
    </w:p>
    <w:p w14:paraId="7FED2AC7" w14:textId="77777777" w:rsidR="00080503" w:rsidRDefault="003A23BA">
      <w:pPr>
        <w:overflowPunct w:val="0"/>
        <w:spacing w:line="616" w:lineRule="exact"/>
        <w:ind w:firstLineChars="200" w:firstLine="640"/>
        <w:rPr>
          <w:rFonts w:ascii="宋体" w:hAnsi="宋体"/>
        </w:rPr>
      </w:pPr>
      <w:r>
        <w:rPr>
          <w:rFonts w:ascii="宋体" w:eastAsia="方正仿宋简体" w:hAnsi="宋体" w:cs="方正仿宋简体" w:hint="eastAsia"/>
          <w:sz w:val="32"/>
          <w:szCs w:val="32"/>
        </w:rPr>
        <w:t>坚持保护优先、自然修复为主，实施生态保护和修复工程，提升自然生态系统稳定性和生态服务功能，加强城市规划的前瞻性和系统性。</w:t>
      </w:r>
    </w:p>
    <w:p w14:paraId="03B66D1B"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优化生态安全格局。</w:t>
      </w:r>
      <w:r>
        <w:rPr>
          <w:rFonts w:ascii="宋体" w:eastAsia="方正仿宋简体" w:hAnsi="宋体" w:cs="方正仿宋简体" w:hint="eastAsia"/>
          <w:sz w:val="32"/>
          <w:szCs w:val="32"/>
        </w:rPr>
        <w:t>高标准推进特色生态屏障建设。以大汶河生态带为核心，以北部棋山和寄母山、南部九龙山两道山体为生态屏障，以盘龙河、辛庄河、颜庄河等九条重要水系为生态廊道，加快构建“一带、两屏、九廊”的生态安全格局。按照“三线”空间管控边界，强化生态红线区域保护和修复，确保生态空间面积不减少。严守生态安全，打造集生态保护、科学研究、环境教育、生态旅游等功能于一体的自然保护地体系。严格产业准入门槛，严格管控各类开发活动，不断提高空间开发质量和效率。加强生物资源现状调查，摸清野生动植物资源底数，促进跨区域信息共享。</w:t>
      </w:r>
    </w:p>
    <w:p w14:paraId="0DAADB88" w14:textId="77777777" w:rsidR="00080503" w:rsidRDefault="003A23BA">
      <w:pPr>
        <w:overflowPunct w:val="0"/>
        <w:spacing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深入推进生态修复。</w:t>
      </w:r>
      <w:r>
        <w:rPr>
          <w:rFonts w:ascii="宋体" w:eastAsia="方正仿宋简体" w:hAnsi="宋体" w:cs="方正仿宋简体" w:hint="eastAsia"/>
          <w:sz w:val="32"/>
          <w:szCs w:val="32"/>
        </w:rPr>
        <w:t>实施国土绿化攻坚行动，推动疏林地补</w:t>
      </w:r>
      <w:r>
        <w:rPr>
          <w:rFonts w:ascii="宋体" w:eastAsia="方正仿宋简体" w:hAnsi="宋体" w:cs="方正仿宋简体" w:hint="eastAsia"/>
          <w:sz w:val="32"/>
          <w:szCs w:val="32"/>
        </w:rPr>
        <w:lastRenderedPageBreak/>
        <w:t>植，加强水源涵养林、水土保持林建设，实施森林生态修复与保护等林业生态建设工程，提升森林生态系统质量，加强森林防火能力建设。推行林长制，完善森林、草地、湿地发展保护规划，推行耕地、森林、河流等休养生息，保育关键生态敏感点。推进采矿损毁土地调查，明确破损山体底数，持续实施矿山生态修复。推进“城市增绿”行动，深化城市绿化和村庄绿化建设，提高森林覆盖率和林木蓄积量，增强森林碳汇能力。加强水土流失综合治理，控制水土流失面积。</w:t>
      </w:r>
    </w:p>
    <w:p w14:paraId="2EAE6564" w14:textId="77777777" w:rsidR="00080503" w:rsidRDefault="003A23BA">
      <w:pPr>
        <w:overflowPunct w:val="0"/>
        <w:spacing w:after="240" w:line="616" w:lineRule="exact"/>
        <w:ind w:firstLineChars="200" w:firstLine="640"/>
        <w:rPr>
          <w:rFonts w:ascii="宋体" w:eastAsia="方正楷体简体" w:hAnsi="宋体" w:cs="方正楷体简体"/>
          <w:sz w:val="32"/>
          <w:szCs w:val="32"/>
        </w:rPr>
      </w:pPr>
      <w:r>
        <w:rPr>
          <w:rFonts w:ascii="宋体" w:eastAsia="方正楷体简体" w:hAnsi="宋体" w:cs="方正楷体简体" w:hint="eastAsia"/>
          <w:sz w:val="32"/>
          <w:szCs w:val="32"/>
        </w:rPr>
        <w:t>健全生态文明制度。</w:t>
      </w:r>
      <w:r>
        <w:rPr>
          <w:rFonts w:ascii="宋体" w:eastAsia="方正仿宋简体" w:hAnsi="宋体" w:cs="方正仿宋简体" w:hint="eastAsia"/>
          <w:sz w:val="32"/>
          <w:szCs w:val="32"/>
        </w:rPr>
        <w:t>进一步理顺生态保护和监管体制，加快生态环境保护综合行政执法改革。完善自然资源资产产权制度，健全排污权、碳排放权初始分配机制，建立覆盖所有固定污染源的企业排放许可制。严守环境质量底线，制定和实施体现生态文明建设要求的评价体系、考核机制和激励办法。完善绿色发展评估制度，分类实行差别化考核制度。积极推进环境污染第三方治理，引入社会力量投入环境污染治理。</w:t>
      </w:r>
    </w:p>
    <w:tbl>
      <w:tblPr>
        <w:tblW w:w="892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929"/>
      </w:tblGrid>
      <w:tr w:rsidR="00080503" w14:paraId="599C6B44" w14:textId="77777777">
        <w:trPr>
          <w:trHeight w:val="680"/>
          <w:jc w:val="center"/>
        </w:trPr>
        <w:tc>
          <w:tcPr>
            <w:tcW w:w="8929" w:type="dxa"/>
            <w:vAlign w:val="center"/>
          </w:tcPr>
          <w:p w14:paraId="2C780777" w14:textId="77777777" w:rsidR="00080503" w:rsidRDefault="003A23BA">
            <w:pPr>
              <w:overflowPunct w:val="0"/>
              <w:adjustRightInd w:val="0"/>
              <w:snapToGrid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lang w:val="zh-CN"/>
              </w:rPr>
              <w:t>专栏</w:t>
            </w:r>
            <w:r>
              <w:rPr>
                <w:rFonts w:ascii="宋体" w:eastAsia="黑体" w:hAnsi="宋体" w:cs="黑体" w:hint="eastAsia"/>
                <w:sz w:val="28"/>
                <w:szCs w:val="28"/>
              </w:rPr>
              <w:t>11</w:t>
            </w:r>
            <w:r>
              <w:rPr>
                <w:rFonts w:ascii="宋体" w:eastAsia="黑体" w:hAnsi="宋体" w:cs="黑体" w:hint="eastAsia"/>
                <w:sz w:val="28"/>
                <w:szCs w:val="28"/>
                <w:lang w:val="zh-CN"/>
              </w:rPr>
              <w:t xml:space="preserve"> </w:t>
            </w:r>
            <w:r>
              <w:rPr>
                <w:rFonts w:ascii="宋体" w:eastAsia="黑体" w:hAnsi="宋体" w:cs="黑体" w:hint="eastAsia"/>
                <w:sz w:val="28"/>
                <w:szCs w:val="28"/>
              </w:rPr>
              <w:t xml:space="preserve"> </w:t>
            </w:r>
            <w:r>
              <w:rPr>
                <w:rFonts w:ascii="宋体" w:eastAsia="黑体" w:hAnsi="宋体" w:cs="黑体" w:hint="eastAsia"/>
                <w:sz w:val="28"/>
                <w:szCs w:val="28"/>
              </w:rPr>
              <w:t>生态修复领域重点项目</w:t>
            </w:r>
          </w:p>
        </w:tc>
      </w:tr>
      <w:tr w:rsidR="00080503" w14:paraId="42E2069E" w14:textId="77777777">
        <w:trPr>
          <w:trHeight w:val="2258"/>
          <w:jc w:val="center"/>
        </w:trPr>
        <w:tc>
          <w:tcPr>
            <w:tcW w:w="8929" w:type="dxa"/>
            <w:vAlign w:val="center"/>
          </w:tcPr>
          <w:p w14:paraId="66349CCB" w14:textId="77777777" w:rsidR="00080503" w:rsidRDefault="003A23BA">
            <w:pPr>
              <w:overflowPunct w:val="0"/>
              <w:adjustRightInd w:val="0"/>
              <w:snapToGrid w:val="0"/>
              <w:spacing w:line="400" w:lineRule="exact"/>
              <w:ind w:firstLineChars="200" w:firstLine="560"/>
              <w:rPr>
                <w:rFonts w:ascii="宋体" w:eastAsia="方正楷体简体" w:hAnsi="宋体" w:cs="方正楷体简体"/>
                <w:sz w:val="28"/>
                <w:szCs w:val="28"/>
                <w:lang w:val="zh-CN"/>
              </w:rPr>
            </w:pPr>
            <w:r>
              <w:rPr>
                <w:rFonts w:ascii="宋体" w:eastAsia="方正仿宋简体" w:hAnsi="宋体" w:cs="方正仿宋简体" w:hint="eastAsia"/>
                <w:sz w:val="28"/>
                <w:szCs w:val="28"/>
                <w:lang w:val="zh-CN"/>
              </w:rPr>
              <w:t>庙子河小流域治理项目、国土绿化行动和生态修复工程、前城子小流域治理项目、辛庄河下游段水毁治理项目、寨子小流域治理项目、砟峪小流域治理项目、水系治理提升及沿线综合开发利用项目、历山小流域治理项目、小上峪小流域治理项目、铁车小流域治理项目、三山小流域治理项目。</w:t>
            </w:r>
          </w:p>
        </w:tc>
      </w:tr>
    </w:tbl>
    <w:p w14:paraId="4551AB15"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sz w:val="32"/>
          <w:szCs w:val="32"/>
        </w:rPr>
        <w:br w:type="page"/>
      </w:r>
    </w:p>
    <w:p w14:paraId="54AB1EE3" w14:textId="77777777" w:rsidR="00080503" w:rsidRDefault="00080503">
      <w:pPr>
        <w:overflowPunct w:val="0"/>
        <w:spacing w:line="600" w:lineRule="exact"/>
        <w:jc w:val="center"/>
        <w:rPr>
          <w:rFonts w:ascii="方正小标宋简体" w:eastAsia="方正小标宋简体" w:hAnsi="宋体" w:cs="方正仿宋简体"/>
          <w:sz w:val="44"/>
          <w:szCs w:val="44"/>
        </w:rPr>
      </w:pPr>
    </w:p>
    <w:p w14:paraId="1A4746CC" w14:textId="77777777" w:rsidR="00080503" w:rsidRDefault="003A23BA">
      <w:pPr>
        <w:overflowPunct w:val="0"/>
        <w:spacing w:line="600"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第十章  </w:t>
      </w:r>
      <w:r>
        <w:rPr>
          <w:rFonts w:ascii="方正小标宋简体" w:eastAsia="方正小标宋简体" w:hAnsi="宋体" w:cs="方正小标宋简体" w:hint="eastAsia"/>
          <w:sz w:val="44"/>
          <w:szCs w:val="44"/>
        </w:rPr>
        <w:t>推动文化传承发展</w:t>
      </w:r>
    </w:p>
    <w:p w14:paraId="7FB501C3" w14:textId="77777777" w:rsidR="00080503" w:rsidRDefault="003A23BA">
      <w:pPr>
        <w:overflowPunct w:val="0"/>
        <w:spacing w:line="600"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激发文化创新创造活力</w:t>
      </w:r>
    </w:p>
    <w:p w14:paraId="067A265C" w14:textId="77777777" w:rsidR="00080503" w:rsidRDefault="00080503">
      <w:pPr>
        <w:overflowPunct w:val="0"/>
        <w:spacing w:line="600" w:lineRule="exact"/>
        <w:ind w:firstLineChars="200" w:firstLine="640"/>
        <w:rPr>
          <w:rFonts w:ascii="宋体" w:eastAsia="方正仿宋简体" w:hAnsi="宋体" w:cs="方正仿宋简体"/>
          <w:sz w:val="32"/>
          <w:szCs w:val="32"/>
        </w:rPr>
      </w:pPr>
    </w:p>
    <w:p w14:paraId="3E5D234D" w14:textId="77777777" w:rsidR="00080503" w:rsidRDefault="003A23BA">
      <w:pPr>
        <w:overflowPunct w:val="0"/>
        <w:spacing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以弘扬社会主义核心价值观为引领，牢牢把握社会主义先进文化前进方向，推进文化改革发展，立足钢铁文化、红色文化、非遗文化等特色资源禀赋，统筹抓好精神文明建设、公共文化服务、优秀传统文化传承、文旅商体融合发展，提升文化软实力和影响力。</w:t>
      </w:r>
    </w:p>
    <w:p w14:paraId="6AD6C7AD" w14:textId="77777777" w:rsidR="00080503" w:rsidRDefault="003A23BA">
      <w:pPr>
        <w:overflowPunct w:val="0"/>
        <w:spacing w:before="240" w:after="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弘扬和践行社会主义核心价值观</w:t>
      </w:r>
    </w:p>
    <w:p w14:paraId="2CF83651" w14:textId="77777777" w:rsidR="00080503" w:rsidRDefault="003A23BA">
      <w:pPr>
        <w:overflowPunct w:val="0"/>
        <w:spacing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深化党的创新理论学习和宣传教育，坚持不懈用习近平新时代中国特色社会主义思想凝心铸魂。以社会主义核心价值观引领文化建设，发挥文化养心志、育情操的作用，推动社会主义核心价值观融入法治建设、社会发展、日常生活，为城乡社会增正气增活力。加强和改进思想政治工作，用好红色文化资源，开展形式多样的爱国主义教育和全民国防教育活动，加强青少年理想信念教育。统筹推进城乡精神文明建设，全面提升文明培育、文明实践、文明创建水平。组织开展“钢好有你”系列主题活动，不断提高市民文明素养和社会文明程度。深入开展“身边好人”、“乡村文明之星”等典型选树工作，深化移风易俗，弘扬诚信文化、廉洁文化，注重家庭家教家风建设。严格落实意识形态工作</w:t>
      </w:r>
      <w:r>
        <w:rPr>
          <w:rFonts w:ascii="宋体" w:eastAsia="方正仿宋简体" w:hAnsi="宋体" w:cs="方正仿宋简体" w:hint="eastAsia"/>
          <w:sz w:val="32"/>
          <w:szCs w:val="32"/>
        </w:rPr>
        <w:lastRenderedPageBreak/>
        <w:t>责任制和网络意识形态工作责任制，建好用好管好各类意识形态阵地。推动新闻宣传和网络舆论一体化管理，提高主流舆论引导能力，建强用好“幸福钢城”客户端、“大美钢城”微信公众号等区属媒体平台账号，更好展示钢城形象、传播钢城声音。实施网络正能量行动计划，推进网评员队伍建设，加强网络内容建设和管理。</w:t>
      </w:r>
    </w:p>
    <w:p w14:paraId="261C6E8E" w14:textId="77777777" w:rsidR="00080503" w:rsidRDefault="003A23BA">
      <w:pPr>
        <w:overflowPunct w:val="0"/>
        <w:spacing w:before="240" w:after="240" w:line="600"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完善现代公共文化服务体系</w:t>
      </w:r>
    </w:p>
    <w:p w14:paraId="64D3C035" w14:textId="77777777" w:rsidR="00080503" w:rsidRDefault="003A23BA">
      <w:pPr>
        <w:overflowPunct w:val="0"/>
        <w:spacing w:line="600"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完善公共文化服务设施，加快提升区图书馆、区文化馆管理运营水平，完善以区级场馆为总馆、街道综合文化站为分馆的总分馆服务体系，加快构建覆盖城区、社区、乡村的三级服务网络，打造“</w:t>
      </w:r>
      <w:r>
        <w:rPr>
          <w:rFonts w:ascii="宋体" w:eastAsia="方正仿宋简体" w:hAnsi="宋体" w:cs="方正仿宋简体" w:hint="eastAsia"/>
          <w:sz w:val="32"/>
          <w:szCs w:val="32"/>
        </w:rPr>
        <w:t>15</w:t>
      </w:r>
      <w:r>
        <w:rPr>
          <w:rFonts w:ascii="宋体" w:eastAsia="方正仿宋简体" w:hAnsi="宋体" w:cs="方正仿宋简体" w:hint="eastAsia"/>
          <w:sz w:val="32"/>
          <w:szCs w:val="32"/>
        </w:rPr>
        <w:t>分钟”文化惠民服务圈。实施文化惠民工程，坚持外引与内育并重，持续推动市级优质文化资源下沉基层，激活阵地资源，常态化开展阅读推广、惠民演出等服务，丰富文旅活动供给。推进本土文艺创作，加强农村文艺队伍建设，立足“红色记忆”、“奋进发展”等本土主题，打造小戏小剧等各类文艺精品</w:t>
      </w:r>
      <w:r>
        <w:rPr>
          <w:rFonts w:ascii="宋体" w:eastAsia="方正仿宋简体" w:hAnsi="宋体" w:cs="方正仿宋简体" w:hint="eastAsia"/>
          <w:sz w:val="32"/>
          <w:szCs w:val="32"/>
        </w:rPr>
        <w:t>20</w:t>
      </w:r>
      <w:r>
        <w:rPr>
          <w:rFonts w:ascii="宋体" w:eastAsia="方正仿宋简体" w:hAnsi="宋体" w:cs="方正仿宋简体" w:hint="eastAsia"/>
          <w:sz w:val="32"/>
          <w:szCs w:val="32"/>
        </w:rPr>
        <w:t>部以上，讲好钢城故事、擦亮文化名片。创新文化传播体系，融合图文、视频、直播等多元形态，拓展媒体服务内容，创新文化传播方式，不断扩大文化服务的覆盖面和影响力。</w:t>
      </w:r>
    </w:p>
    <w:p w14:paraId="62BF8839"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加强优秀传统文化保护传承</w:t>
      </w:r>
    </w:p>
    <w:p w14:paraId="21E5F0CE"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系统构建文物资源管理体系，以第四次全国文物普查为契</w:t>
      </w:r>
      <w:r>
        <w:rPr>
          <w:rFonts w:ascii="宋体" w:eastAsia="方正仿宋简体" w:hAnsi="宋体" w:cs="方正仿宋简体" w:hint="eastAsia"/>
          <w:sz w:val="32"/>
          <w:szCs w:val="32"/>
        </w:rPr>
        <w:lastRenderedPageBreak/>
        <w:t>机，系统梳理全区历史文化遗产，建立不可移动文物资源库，</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实现动态化、可视化监管。实施重点文物提档升级工程，推进棋山观抗日阵亡烈士纪念碑等申报国家级文保单位，实现一般不可移动文物全面挂牌保护。创新文物活化利用，重点推进莱芜战役指挥所旧址展陈提升与数字</w:t>
      </w:r>
      <w:r>
        <w:rPr>
          <w:rFonts w:ascii="宋体" w:eastAsia="方正仿宋简体" w:hAnsi="宋体" w:cs="方正仿宋简体" w:hint="eastAsia"/>
          <w:sz w:val="32"/>
          <w:szCs w:val="32"/>
        </w:rPr>
        <w:t>AI</w:t>
      </w:r>
      <w:r>
        <w:rPr>
          <w:rFonts w:ascii="宋体" w:eastAsia="方正仿宋简体" w:hAnsi="宋体" w:cs="方正仿宋简体" w:hint="eastAsia"/>
          <w:sz w:val="32"/>
          <w:szCs w:val="32"/>
        </w:rPr>
        <w:t>平台建设，积极筹备第六批全国博物馆定级评估工作，增强博物馆公共文化服务能力。夯实非遗保护基础，完善政策、加大扶持，开展资源普查并启动第六批区级非遗项目申报，推进“非遗影像录”工程。发挥蟠龙梆子示范作用，探索“短剧＋戏曲”模式，新创非遗作品</w:t>
      </w:r>
      <w:r>
        <w:rPr>
          <w:rFonts w:ascii="宋体" w:eastAsia="方正仿宋简体" w:hAnsi="宋体" w:cs="方正仿宋简体" w:hint="eastAsia"/>
          <w:sz w:val="32"/>
          <w:szCs w:val="32"/>
        </w:rPr>
        <w:t>5</w:t>
      </w:r>
      <w:r>
        <w:rPr>
          <w:rFonts w:ascii="宋体" w:eastAsia="方正仿宋简体" w:hAnsi="宋体" w:cs="方正仿宋简体" w:hint="eastAsia"/>
          <w:sz w:val="32"/>
          <w:szCs w:val="32"/>
        </w:rPr>
        <w:t>部以上，推动非遗文化活态传承。依托澜头非遗文创园、下陈蟠龙乡韵文化中心等平台，深入开展非遗“五进”活动，推动文创产品开发。</w:t>
      </w:r>
    </w:p>
    <w:p w14:paraId="5C8B5802"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第四节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推进文旅商体融合发展</w:t>
      </w:r>
    </w:p>
    <w:p w14:paraId="2427D51B" w14:textId="77777777" w:rsidR="00080503" w:rsidRDefault="003A23BA">
      <w:pPr>
        <w:overflowPunct w:val="0"/>
        <w:spacing w:after="240"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优化文旅产业发展布局，构建“一核、两带、五组团、多支点”的空间布局，加大文旅新业态招引力度，重点推进金鸡峡山水田园等项目建设。完善旅游基础设施建设，围绕“吃住行游购娱”旅游要素，系统完善旅游基础设施与服务配套。支持优质农产品向旅游商品转化，延伸消费链条，加快推进星级旅游饭店建设；优化旅游标识系统，提升导览服务水平；创建</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处</w:t>
      </w:r>
      <w:r>
        <w:rPr>
          <w:rFonts w:ascii="宋体" w:eastAsia="方正仿宋简体" w:hAnsi="宋体" w:cs="方正仿宋简体" w:hint="eastAsia"/>
          <w:sz w:val="32"/>
          <w:szCs w:val="32"/>
        </w:rPr>
        <w:t>A</w:t>
      </w:r>
      <w:r>
        <w:rPr>
          <w:rFonts w:ascii="宋体" w:eastAsia="方正仿宋简体" w:hAnsi="宋体" w:cs="方正仿宋简体" w:hint="eastAsia"/>
          <w:sz w:val="32"/>
          <w:szCs w:val="32"/>
        </w:rPr>
        <w:t>级旅游景区，提升区域旅游吸引力和综合服务能力。拓展文旅融合新路径，塑强“汶河四季”、“跟着赛事游钢城”文体旅活动品牌，</w:t>
      </w:r>
      <w:r>
        <w:rPr>
          <w:rFonts w:ascii="宋体" w:eastAsia="方正仿宋简体" w:hAnsi="宋体" w:cs="方正仿宋简体" w:hint="eastAsia"/>
          <w:sz w:val="32"/>
          <w:szCs w:val="32"/>
        </w:rPr>
        <w:lastRenderedPageBreak/>
        <w:t>重点打造钢城“村拔”、“汽车登山赛”等特色活动，点燃体育旅游新热度。加快思政课暨研学品质课程建设，培育特色研学品牌。推进“</w:t>
      </w:r>
      <w:r>
        <w:rPr>
          <w:rFonts w:ascii="宋体" w:eastAsia="方正仿宋简体" w:hAnsi="宋体" w:cs="方正仿宋简体" w:hint="eastAsia"/>
          <w:sz w:val="32"/>
          <w:szCs w:val="32"/>
        </w:rPr>
        <w:t>9363</w:t>
      </w:r>
      <w:r>
        <w:rPr>
          <w:rFonts w:ascii="宋体" w:eastAsia="方正仿宋简体" w:hAnsi="宋体" w:cs="方正仿宋简体" w:hint="eastAsia"/>
          <w:sz w:val="32"/>
          <w:szCs w:val="32"/>
        </w:rPr>
        <w:t>”小三线建设、“莱钢建设史”等工业遗存资源的整体性保护和创意转化，开发“钢铁是怎样炼成的”旅游路线，拓展工业旅游新体验，构建“赛事引流、文旅承接、服务增值”的融合发展体系。</w:t>
      </w:r>
    </w:p>
    <w:tbl>
      <w:tblPr>
        <w:tblStyle w:val="a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928"/>
      </w:tblGrid>
      <w:tr w:rsidR="00080503" w14:paraId="2AD34D0E" w14:textId="77777777">
        <w:trPr>
          <w:trHeight w:val="680"/>
          <w:jc w:val="center"/>
        </w:trPr>
        <w:tc>
          <w:tcPr>
            <w:tcW w:w="8929" w:type="dxa"/>
            <w:vAlign w:val="center"/>
          </w:tcPr>
          <w:p w14:paraId="297F5C2B" w14:textId="77777777" w:rsidR="00080503" w:rsidRDefault="003A23BA">
            <w:pPr>
              <w:overflowPunct w:val="0"/>
              <w:adjustRightInd w:val="0"/>
              <w:snapToGrid w:val="0"/>
              <w:spacing w:line="340" w:lineRule="exact"/>
              <w:jc w:val="center"/>
              <w:outlineLvl w:val="1"/>
              <w:rPr>
                <w:rFonts w:ascii="宋体" w:eastAsia="方正楷体简体" w:hAnsi="宋体" w:cs="方正楷体简体"/>
                <w:kern w:val="44"/>
                <w:sz w:val="28"/>
                <w:szCs w:val="28"/>
                <w:lang w:bidi="ar"/>
              </w:rPr>
            </w:pPr>
            <w:bookmarkStart w:id="100" w:name="_Toc12342"/>
            <w:bookmarkStart w:id="101" w:name="_Toc29986"/>
            <w:bookmarkStart w:id="102" w:name="_Toc29946"/>
            <w:bookmarkStart w:id="103" w:name="_Toc27515"/>
            <w:bookmarkStart w:id="104" w:name="_Toc27947"/>
            <w:bookmarkStart w:id="105" w:name="_Toc2100"/>
            <w:r>
              <w:rPr>
                <w:rFonts w:ascii="宋体" w:eastAsia="黑体" w:hAnsi="宋体" w:cs="黑体" w:hint="eastAsia"/>
                <w:kern w:val="44"/>
                <w:sz w:val="28"/>
                <w:szCs w:val="28"/>
                <w:lang w:bidi="ar"/>
              </w:rPr>
              <w:t>专栏</w:t>
            </w:r>
            <w:r>
              <w:rPr>
                <w:rFonts w:ascii="宋体" w:eastAsia="黑体" w:hAnsi="宋体" w:cs="黑体" w:hint="eastAsia"/>
                <w:kern w:val="44"/>
                <w:sz w:val="28"/>
                <w:szCs w:val="28"/>
                <w:lang w:bidi="ar"/>
              </w:rPr>
              <w:t xml:space="preserve">12  </w:t>
            </w:r>
            <w:r>
              <w:rPr>
                <w:rFonts w:ascii="宋体" w:eastAsia="黑体" w:hAnsi="宋体" w:cs="黑体" w:hint="eastAsia"/>
                <w:kern w:val="44"/>
                <w:sz w:val="28"/>
                <w:szCs w:val="28"/>
                <w:lang w:bidi="ar"/>
              </w:rPr>
              <w:t>“一核、两带、五组团、多支点”文化旅游空间格局</w:t>
            </w:r>
            <w:bookmarkEnd w:id="100"/>
            <w:bookmarkEnd w:id="101"/>
            <w:bookmarkEnd w:id="102"/>
            <w:bookmarkEnd w:id="103"/>
            <w:bookmarkEnd w:id="104"/>
            <w:bookmarkEnd w:id="105"/>
          </w:p>
        </w:tc>
      </w:tr>
      <w:tr w:rsidR="00080503" w14:paraId="635E1115" w14:textId="77777777">
        <w:trPr>
          <w:trHeight w:val="3288"/>
          <w:jc w:val="center"/>
        </w:trPr>
        <w:tc>
          <w:tcPr>
            <w:tcW w:w="8929" w:type="dxa"/>
            <w:vAlign w:val="center"/>
          </w:tcPr>
          <w:p w14:paraId="5FFA75E0" w14:textId="77777777" w:rsidR="00080503" w:rsidRDefault="003A23BA">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106" w:name="_Toc5837"/>
            <w:bookmarkStart w:id="107" w:name="_Toc14572"/>
            <w:bookmarkStart w:id="108" w:name="_Toc25675"/>
            <w:bookmarkStart w:id="109" w:name="_Toc25192"/>
            <w:bookmarkStart w:id="110" w:name="_Toc15484"/>
            <w:bookmarkStart w:id="111" w:name="_Toc7888"/>
            <w:r>
              <w:rPr>
                <w:rFonts w:ascii="宋体" w:eastAsia="方正仿宋简体" w:hAnsi="宋体" w:cs="方正仿宋简体" w:hint="eastAsia"/>
                <w:kern w:val="44"/>
                <w:sz w:val="28"/>
                <w:szCs w:val="28"/>
                <w:lang w:bidi="ar"/>
              </w:rPr>
              <w:t>“一核”即城市文旅核心区</w:t>
            </w:r>
            <w:bookmarkEnd w:id="106"/>
            <w:bookmarkEnd w:id="107"/>
            <w:bookmarkEnd w:id="108"/>
            <w:bookmarkEnd w:id="109"/>
            <w:bookmarkEnd w:id="110"/>
            <w:bookmarkEnd w:id="111"/>
            <w:r>
              <w:rPr>
                <w:rFonts w:ascii="宋体" w:eastAsia="方正仿宋简体" w:hAnsi="宋体" w:cs="方正仿宋简体" w:hint="eastAsia"/>
                <w:kern w:val="44"/>
                <w:sz w:val="28"/>
                <w:szCs w:val="28"/>
                <w:lang w:bidi="ar"/>
              </w:rPr>
              <w:t>。</w:t>
            </w:r>
          </w:p>
          <w:p w14:paraId="4C9C2638" w14:textId="77777777" w:rsidR="00080503" w:rsidRDefault="003A23BA">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112" w:name="_Toc16266"/>
            <w:bookmarkStart w:id="113" w:name="_Toc21525"/>
            <w:bookmarkStart w:id="114" w:name="_Toc25615"/>
            <w:bookmarkStart w:id="115" w:name="_Toc6274"/>
            <w:bookmarkStart w:id="116" w:name="_Toc30355"/>
            <w:bookmarkStart w:id="117" w:name="_Toc30172"/>
            <w:r>
              <w:rPr>
                <w:rFonts w:ascii="宋体" w:eastAsia="方正仿宋简体" w:hAnsi="宋体" w:cs="方正仿宋简体" w:hint="eastAsia"/>
                <w:kern w:val="44"/>
                <w:sz w:val="28"/>
                <w:szCs w:val="28"/>
                <w:lang w:bidi="ar"/>
              </w:rPr>
              <w:t>“两带”即棋山康养休闲带和大汶河滨水休憩带</w:t>
            </w:r>
            <w:bookmarkEnd w:id="112"/>
            <w:bookmarkEnd w:id="113"/>
            <w:bookmarkEnd w:id="114"/>
            <w:bookmarkEnd w:id="115"/>
            <w:bookmarkEnd w:id="116"/>
            <w:bookmarkEnd w:id="117"/>
            <w:r>
              <w:rPr>
                <w:rFonts w:ascii="宋体" w:eastAsia="方正仿宋简体" w:hAnsi="宋体" w:cs="方正仿宋简体" w:hint="eastAsia"/>
                <w:kern w:val="44"/>
                <w:sz w:val="28"/>
                <w:szCs w:val="28"/>
                <w:lang w:bidi="ar"/>
              </w:rPr>
              <w:t>。</w:t>
            </w:r>
          </w:p>
          <w:p w14:paraId="5EDB32F2" w14:textId="77777777" w:rsidR="00080503" w:rsidRDefault="003A23BA">
            <w:pPr>
              <w:overflowPunct w:val="0"/>
              <w:adjustRightInd w:val="0"/>
              <w:snapToGrid w:val="0"/>
              <w:spacing w:line="400" w:lineRule="exact"/>
              <w:ind w:firstLineChars="200" w:firstLine="560"/>
              <w:outlineLvl w:val="1"/>
              <w:rPr>
                <w:rFonts w:ascii="宋体" w:eastAsia="方正仿宋简体" w:hAnsi="宋体" w:cs="方正仿宋简体"/>
                <w:kern w:val="44"/>
                <w:sz w:val="28"/>
                <w:szCs w:val="28"/>
                <w:lang w:bidi="ar"/>
              </w:rPr>
            </w:pPr>
            <w:bookmarkStart w:id="118" w:name="_Toc13820"/>
            <w:bookmarkStart w:id="119" w:name="_Toc17976"/>
            <w:bookmarkStart w:id="120" w:name="_Toc22345"/>
            <w:bookmarkStart w:id="121" w:name="_Toc21473"/>
            <w:bookmarkStart w:id="122" w:name="_Toc31397"/>
            <w:bookmarkStart w:id="123" w:name="_Toc9763"/>
            <w:r>
              <w:rPr>
                <w:rFonts w:ascii="宋体" w:eastAsia="方正仿宋简体" w:hAnsi="宋体" w:cs="方正仿宋简体" w:hint="eastAsia"/>
                <w:kern w:val="44"/>
                <w:sz w:val="28"/>
                <w:szCs w:val="28"/>
                <w:lang w:bidi="ar"/>
              </w:rPr>
              <w:t>“五组团”即对话工艺记忆的“钢铁是怎样炼成的”工业旅游组团、乐享生态康养的棋山旅游组团、跃动山野活力的九龙山户外运动组团、溯源汶水溪流的汶水探源组团、漫步诗意田园的“十里画廊”</w:t>
            </w:r>
            <w:r>
              <w:rPr>
                <w:rFonts w:ascii="宋体" w:eastAsia="方正仿宋简体" w:hAnsi="宋体" w:cs="方正仿宋简体" w:hint="eastAsia"/>
                <w:kern w:val="44"/>
                <w:sz w:val="28"/>
                <w:szCs w:val="28"/>
                <w:lang w:bidi="ar"/>
              </w:rPr>
              <w:t>Country Walk</w:t>
            </w:r>
            <w:r>
              <w:rPr>
                <w:rFonts w:ascii="宋体" w:eastAsia="方正仿宋简体" w:hAnsi="宋体" w:cs="方正仿宋简体" w:hint="eastAsia"/>
                <w:kern w:val="44"/>
                <w:sz w:val="28"/>
                <w:szCs w:val="28"/>
                <w:lang w:bidi="ar"/>
              </w:rPr>
              <w:t>组团。</w:t>
            </w:r>
          </w:p>
          <w:p w14:paraId="77C9247E" w14:textId="77777777" w:rsidR="00080503" w:rsidRDefault="003A23BA">
            <w:pPr>
              <w:overflowPunct w:val="0"/>
              <w:adjustRightInd w:val="0"/>
              <w:snapToGrid w:val="0"/>
              <w:spacing w:line="400" w:lineRule="exact"/>
              <w:ind w:firstLineChars="200" w:firstLine="560"/>
              <w:outlineLvl w:val="1"/>
              <w:rPr>
                <w:rFonts w:ascii="宋体" w:eastAsia="方正楷体简体" w:hAnsi="宋体" w:cs="方正楷体简体"/>
                <w:kern w:val="44"/>
                <w:sz w:val="28"/>
                <w:szCs w:val="28"/>
                <w:lang w:bidi="ar"/>
              </w:rPr>
            </w:pPr>
            <w:bookmarkStart w:id="124" w:name="_Toc5953"/>
            <w:bookmarkStart w:id="125" w:name="_Toc22695"/>
            <w:bookmarkStart w:id="126" w:name="_Toc22368"/>
            <w:bookmarkStart w:id="127" w:name="_Toc4757"/>
            <w:bookmarkStart w:id="128" w:name="_Toc16121"/>
            <w:bookmarkStart w:id="129" w:name="_Toc24686"/>
            <w:bookmarkEnd w:id="118"/>
            <w:bookmarkEnd w:id="119"/>
            <w:bookmarkEnd w:id="120"/>
            <w:bookmarkEnd w:id="121"/>
            <w:bookmarkEnd w:id="122"/>
            <w:bookmarkEnd w:id="123"/>
            <w:r>
              <w:rPr>
                <w:rFonts w:ascii="宋体" w:eastAsia="方正仿宋简体" w:hAnsi="宋体" w:cs="方正仿宋简体" w:hint="eastAsia"/>
                <w:kern w:val="44"/>
                <w:sz w:val="28"/>
                <w:szCs w:val="28"/>
                <w:lang w:bidi="ar"/>
              </w:rPr>
              <w:t>“多支点”即立足完善“食住行游购娱”等旅游六要素配套。</w:t>
            </w:r>
            <w:bookmarkEnd w:id="124"/>
            <w:bookmarkEnd w:id="125"/>
            <w:bookmarkEnd w:id="126"/>
            <w:bookmarkEnd w:id="127"/>
            <w:bookmarkEnd w:id="128"/>
            <w:bookmarkEnd w:id="129"/>
          </w:p>
        </w:tc>
      </w:tr>
    </w:tbl>
    <w:p w14:paraId="459E4825"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sz w:val="32"/>
          <w:szCs w:val="32"/>
        </w:rPr>
        <w:br w:type="page"/>
      </w:r>
    </w:p>
    <w:p w14:paraId="38E5C990" w14:textId="77777777" w:rsidR="00080503" w:rsidRDefault="00080503">
      <w:pPr>
        <w:overflowPunct w:val="0"/>
        <w:spacing w:line="616" w:lineRule="exact"/>
        <w:jc w:val="center"/>
        <w:rPr>
          <w:rFonts w:ascii="方正小标宋简体" w:eastAsia="方正小标宋简体" w:hAnsi="宋体" w:cs="方正仿宋简体"/>
          <w:sz w:val="44"/>
          <w:szCs w:val="44"/>
        </w:rPr>
      </w:pPr>
    </w:p>
    <w:p w14:paraId="5E29B380" w14:textId="77777777" w:rsidR="00080503" w:rsidRDefault="003A23BA">
      <w:pPr>
        <w:overflowPunct w:val="0"/>
        <w:spacing w:line="616" w:lineRule="exact"/>
        <w:jc w:val="center"/>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第十一章  </w:t>
      </w:r>
      <w:r>
        <w:rPr>
          <w:rFonts w:ascii="方正小标宋简体" w:eastAsia="方正小标宋简体" w:hAnsi="宋体" w:cs="方正小标宋简体" w:hint="eastAsia"/>
          <w:sz w:val="44"/>
          <w:szCs w:val="44"/>
        </w:rPr>
        <w:t xml:space="preserve">着力保障和改善民生  </w:t>
      </w:r>
    </w:p>
    <w:p w14:paraId="062AB441" w14:textId="77777777" w:rsidR="00080503" w:rsidRDefault="003A23BA">
      <w:pPr>
        <w:overflowPunct w:val="0"/>
        <w:spacing w:line="616" w:lineRule="exact"/>
        <w:jc w:val="center"/>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扎实推进共同富裕</w:t>
      </w:r>
    </w:p>
    <w:p w14:paraId="3009CDDB" w14:textId="77777777" w:rsidR="00080503" w:rsidRDefault="00080503">
      <w:pPr>
        <w:overflowPunct w:val="0"/>
        <w:spacing w:line="616" w:lineRule="exact"/>
        <w:ind w:firstLineChars="200" w:firstLine="640"/>
        <w:rPr>
          <w:rFonts w:ascii="宋体" w:eastAsia="方正仿宋简体" w:hAnsi="宋体" w:cs="方正仿宋简体"/>
          <w:sz w:val="32"/>
          <w:szCs w:val="32"/>
        </w:rPr>
      </w:pPr>
    </w:p>
    <w:p w14:paraId="061B4353"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坚持尽力而为、量力而行，实施民生改善和安全强基工程，加强普惠性、基础性、兜底性民生建设，稳步推进基本公共服务均等化，解决好群众急难愁盼问题，不断增进民生福祉。</w:t>
      </w:r>
    </w:p>
    <w:p w14:paraId="62C827F2"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扎实推进稳就业促增收</w:t>
      </w:r>
    </w:p>
    <w:p w14:paraId="04BAB277" w14:textId="77777777" w:rsidR="00080503" w:rsidRDefault="003A23BA">
      <w:pPr>
        <w:overflowPunct w:val="0"/>
        <w:spacing w:line="616" w:lineRule="exact"/>
        <w:ind w:firstLineChars="200" w:firstLine="640"/>
        <w:rPr>
          <w:rFonts w:ascii="宋体" w:eastAsia="仿宋_GB2312" w:hAnsi="宋体" w:cs="Times New Roman"/>
          <w:sz w:val="32"/>
        </w:rPr>
      </w:pPr>
      <w:r>
        <w:rPr>
          <w:rFonts w:ascii="宋体" w:eastAsia="方正仿宋简体" w:hAnsi="宋体" w:cs="方正仿宋简体" w:hint="eastAsia"/>
          <w:sz w:val="32"/>
          <w:szCs w:val="32"/>
        </w:rPr>
        <w:t>实施就业优先战略，坚持把稳就业摆在更加突出位置，加强产业和就业协同，强化择业和用人观念引导，积极构建就业友好型发展方式。</w:t>
      </w:r>
    </w:p>
    <w:p w14:paraId="3D07AE26"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促进高质量充分就业。</w:t>
      </w:r>
      <w:r>
        <w:rPr>
          <w:rFonts w:ascii="宋体" w:eastAsia="方正仿宋简体" w:hAnsi="宋体" w:cs="方正仿宋简体" w:hint="eastAsia"/>
          <w:sz w:val="32"/>
          <w:szCs w:val="32"/>
          <w:lang w:val="zh-CN"/>
        </w:rPr>
        <w:t>深入实施稳就业和职业技能提升行动，发挥鲁中地区高质量充分就业联盟、区人力资源服务产业园平台作用，积极创建省级人力资源服务产业园，优化创业街区运营。抓实重点群体就业，拓展高校毕业生等青年就业渠道，强化退役军人就业服务，实施“护航行动”、深化“青鸟计划”，整合零工市场、推进“社区微业”，落实“技耀泉城”工程，依托“鲁中好焊”基地构建分层培训体系，提升劳动者就业能力。</w:t>
      </w:r>
    </w:p>
    <w:p w14:paraId="6A00C98E"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稳步提高城乡居民收入。</w:t>
      </w:r>
      <w:r>
        <w:rPr>
          <w:rFonts w:ascii="宋体" w:eastAsia="方正仿宋简体" w:hAnsi="宋体" w:cs="方正仿宋简体" w:hint="eastAsia"/>
          <w:sz w:val="32"/>
          <w:szCs w:val="32"/>
        </w:rPr>
        <w:t>实施城乡居民增收计划，完善劳动者工资决定、合理增长、支付保障机制。依法保护劳动者权益，</w:t>
      </w:r>
      <w:r>
        <w:rPr>
          <w:rFonts w:ascii="宋体" w:eastAsia="方正仿宋简体" w:hAnsi="宋体" w:cs="方正仿宋简体" w:hint="eastAsia"/>
          <w:sz w:val="32"/>
          <w:szCs w:val="32"/>
        </w:rPr>
        <w:lastRenderedPageBreak/>
        <w:t>鼓励引导企业提高员工福利待遇。进一步完善建设领域欠薪线索工作机制，加强农民工工资支付保障和欠薪线索的有效防范化解。推动土地、资本等要素使用权、收益权合法合规流转，鼓励金融机构丰富居民可投资金融产品，增加技术、管理和知识要素收入，稳步提升科研人员、技术工人、高素质农民和农村致富带头人等重点群体收入，培育壮大中等收入群体。提高再分配精准性，加大税收、社会保障、转移支付等调节力度。引导高收入群体和企业家参与慈善和社会救助，更好发挥第三次分配作用，合理调节城乡、区域、不同群体间分配关系。</w:t>
      </w:r>
    </w:p>
    <w:p w14:paraId="5816396D"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维护和谐劳动关系。</w:t>
      </w:r>
      <w:r>
        <w:rPr>
          <w:rFonts w:ascii="宋体" w:eastAsia="方正仿宋简体" w:hAnsi="宋体" w:cs="方正仿宋简体"/>
          <w:sz w:val="32"/>
          <w:szCs w:val="32"/>
        </w:rPr>
        <w:t>健全欠薪治理与争议调解机制，在</w:t>
      </w:r>
      <w:r>
        <w:rPr>
          <w:rFonts w:ascii="宋体" w:eastAsia="方正仿宋简体" w:hAnsi="宋体" w:cs="方正仿宋简体" w:hint="eastAsia"/>
          <w:sz w:val="32"/>
          <w:szCs w:val="32"/>
        </w:rPr>
        <w:t>街道</w:t>
      </w:r>
      <w:r>
        <w:rPr>
          <w:rFonts w:ascii="宋体" w:eastAsia="方正仿宋简体" w:hAnsi="宋体" w:cs="方正仿宋简体"/>
          <w:sz w:val="32"/>
          <w:szCs w:val="32"/>
        </w:rPr>
        <w:t>（</w:t>
      </w:r>
      <w:r>
        <w:rPr>
          <w:rFonts w:ascii="宋体" w:eastAsia="方正仿宋简体" w:hAnsi="宋体" w:cs="方正仿宋简体" w:hint="eastAsia"/>
          <w:sz w:val="32"/>
          <w:szCs w:val="32"/>
        </w:rPr>
        <w:t>功能区</w:t>
      </w:r>
      <w:r>
        <w:rPr>
          <w:rFonts w:ascii="宋体" w:eastAsia="方正仿宋简体" w:hAnsi="宋体" w:cs="方正仿宋简体"/>
          <w:sz w:val="32"/>
          <w:szCs w:val="32"/>
        </w:rPr>
        <w:t>）、产业园区、人力资源市场设立</w:t>
      </w:r>
      <w:r>
        <w:rPr>
          <w:rFonts w:ascii="宋体" w:eastAsia="方正仿宋简体" w:hAnsi="宋体" w:cs="方正仿宋简体" w:hint="eastAsia"/>
          <w:sz w:val="32"/>
          <w:szCs w:val="32"/>
        </w:rPr>
        <w:t>“</w:t>
      </w:r>
      <w:r>
        <w:rPr>
          <w:rFonts w:ascii="宋体" w:eastAsia="方正仿宋简体" w:hAnsi="宋体" w:cs="方正仿宋简体"/>
          <w:sz w:val="32"/>
          <w:szCs w:val="32"/>
        </w:rPr>
        <w:t>仲裁服务点</w:t>
      </w:r>
      <w:r>
        <w:rPr>
          <w:rFonts w:ascii="宋体" w:eastAsia="方正仿宋简体" w:hAnsi="宋体" w:cs="方正仿宋简体" w:hint="eastAsia"/>
          <w:sz w:val="32"/>
          <w:szCs w:val="32"/>
        </w:rPr>
        <w:t>”</w:t>
      </w:r>
      <w:r>
        <w:rPr>
          <w:rFonts w:ascii="宋体" w:eastAsia="方正仿宋简体" w:hAnsi="宋体" w:cs="方正仿宋简体"/>
          <w:sz w:val="32"/>
          <w:szCs w:val="32"/>
        </w:rPr>
        <w:t>，配备仲裁业务骨干，组织开展</w:t>
      </w:r>
      <w:r>
        <w:rPr>
          <w:rFonts w:ascii="宋体" w:eastAsia="方正仿宋简体" w:hAnsi="宋体" w:cs="方正仿宋简体" w:hint="eastAsia"/>
          <w:sz w:val="32"/>
          <w:szCs w:val="32"/>
        </w:rPr>
        <w:t>“</w:t>
      </w:r>
      <w:r>
        <w:rPr>
          <w:rFonts w:ascii="宋体" w:eastAsia="方正仿宋简体" w:hAnsi="宋体" w:cs="方正仿宋简体"/>
          <w:sz w:val="32"/>
          <w:szCs w:val="32"/>
        </w:rPr>
        <w:t>无欠薪企业</w:t>
      </w:r>
      <w:r>
        <w:rPr>
          <w:rFonts w:ascii="宋体" w:eastAsia="方正仿宋简体" w:hAnsi="宋体" w:cs="方正仿宋简体" w:hint="eastAsia"/>
          <w:sz w:val="32"/>
          <w:szCs w:val="32"/>
        </w:rPr>
        <w:t>”</w:t>
      </w:r>
      <w:r>
        <w:rPr>
          <w:rFonts w:ascii="宋体" w:eastAsia="方正仿宋简体" w:hAnsi="宋体" w:cs="方正仿宋简体"/>
          <w:sz w:val="32"/>
          <w:szCs w:val="32"/>
        </w:rPr>
        <w:t>评选活动，完善欠薪失信联合惩戒机制，将欠薪企业纳入行业</w:t>
      </w:r>
      <w:r>
        <w:rPr>
          <w:rFonts w:ascii="宋体" w:eastAsia="方正仿宋简体" w:hAnsi="宋体" w:cs="方正仿宋简体" w:hint="eastAsia"/>
          <w:sz w:val="32"/>
          <w:szCs w:val="32"/>
        </w:rPr>
        <w:t>“</w:t>
      </w:r>
      <w:r>
        <w:rPr>
          <w:rFonts w:ascii="宋体" w:eastAsia="方正仿宋简体" w:hAnsi="宋体" w:cs="方正仿宋简体"/>
          <w:sz w:val="32"/>
          <w:szCs w:val="32"/>
        </w:rPr>
        <w:t>黑名单</w:t>
      </w:r>
      <w:r>
        <w:rPr>
          <w:rFonts w:ascii="宋体" w:eastAsia="方正仿宋简体" w:hAnsi="宋体" w:cs="方正仿宋简体" w:hint="eastAsia"/>
          <w:sz w:val="32"/>
          <w:szCs w:val="32"/>
        </w:rPr>
        <w:t>”，</w:t>
      </w:r>
      <w:r>
        <w:rPr>
          <w:rFonts w:ascii="宋体" w:eastAsia="方正仿宋简体" w:hAnsi="宋体" w:cs="方正仿宋简体"/>
          <w:sz w:val="32"/>
          <w:szCs w:val="32"/>
        </w:rPr>
        <w:t>确保欠薪案件按时结案率、群众满意率稳定在</w:t>
      </w:r>
      <w:r>
        <w:rPr>
          <w:rFonts w:ascii="宋体" w:eastAsia="方正仿宋简体" w:hAnsi="宋体" w:cs="方正仿宋简体"/>
          <w:sz w:val="32"/>
          <w:szCs w:val="32"/>
        </w:rPr>
        <w:t>98%</w:t>
      </w:r>
      <w:r>
        <w:rPr>
          <w:rFonts w:ascii="宋体" w:eastAsia="方正仿宋简体" w:hAnsi="宋体" w:cs="方正仿宋简体"/>
          <w:sz w:val="32"/>
          <w:szCs w:val="32"/>
        </w:rPr>
        <w:t>以上，劳动人事争议案件调解成功率</w:t>
      </w:r>
      <w:r>
        <w:rPr>
          <w:rFonts w:ascii="宋体" w:eastAsia="方正仿宋简体" w:hAnsi="宋体" w:cs="方正仿宋简体" w:hint="eastAsia"/>
          <w:sz w:val="32"/>
          <w:szCs w:val="32"/>
        </w:rPr>
        <w:t>始终保持在</w:t>
      </w:r>
      <w:r>
        <w:rPr>
          <w:rFonts w:ascii="宋体" w:eastAsia="方正仿宋简体" w:hAnsi="宋体" w:cs="方正仿宋简体"/>
          <w:sz w:val="32"/>
          <w:szCs w:val="32"/>
        </w:rPr>
        <w:t>70%</w:t>
      </w:r>
      <w:r>
        <w:rPr>
          <w:rFonts w:ascii="宋体" w:eastAsia="方正仿宋简体" w:hAnsi="宋体" w:cs="方正仿宋简体"/>
          <w:sz w:val="32"/>
          <w:szCs w:val="32"/>
        </w:rPr>
        <w:t>，新开工项目工伤保险参保率、</w:t>
      </w:r>
      <w:r>
        <w:rPr>
          <w:rFonts w:ascii="宋体" w:eastAsia="方正仿宋简体" w:hAnsi="宋体" w:cs="方正仿宋简体" w:hint="eastAsia"/>
          <w:sz w:val="32"/>
          <w:szCs w:val="32"/>
        </w:rPr>
        <w:t>“</w:t>
      </w:r>
      <w:r>
        <w:rPr>
          <w:rFonts w:ascii="宋体" w:eastAsia="方正仿宋简体" w:hAnsi="宋体" w:cs="方正仿宋简体"/>
          <w:sz w:val="32"/>
          <w:szCs w:val="32"/>
        </w:rPr>
        <w:t>泉城安薪码</w:t>
      </w:r>
      <w:r>
        <w:rPr>
          <w:rFonts w:ascii="宋体" w:eastAsia="方正仿宋简体" w:hAnsi="宋体" w:cs="方正仿宋简体" w:hint="eastAsia"/>
          <w:sz w:val="32"/>
          <w:szCs w:val="32"/>
        </w:rPr>
        <w:t>”</w:t>
      </w:r>
      <w:r>
        <w:rPr>
          <w:rFonts w:ascii="宋体" w:eastAsia="方正仿宋简体" w:hAnsi="宋体" w:cs="方正仿宋简体"/>
          <w:sz w:val="32"/>
          <w:szCs w:val="32"/>
        </w:rPr>
        <w:t>覆盖率保持</w:t>
      </w:r>
      <w:r>
        <w:rPr>
          <w:rFonts w:ascii="宋体" w:eastAsia="方正仿宋简体" w:hAnsi="宋体" w:cs="方正仿宋简体"/>
          <w:sz w:val="32"/>
          <w:szCs w:val="32"/>
        </w:rPr>
        <w:t>100%</w:t>
      </w:r>
      <w:r>
        <w:rPr>
          <w:rFonts w:ascii="宋体" w:eastAsia="方正仿宋简体" w:hAnsi="宋体" w:cs="方正仿宋简体"/>
          <w:sz w:val="32"/>
          <w:szCs w:val="32"/>
        </w:rPr>
        <w:t>。</w:t>
      </w:r>
    </w:p>
    <w:p w14:paraId="4D795076" w14:textId="77777777" w:rsidR="00080503" w:rsidRDefault="003A23BA">
      <w:pPr>
        <w:overflowPunct w:val="0"/>
        <w:spacing w:before="240" w:after="240" w:line="616" w:lineRule="exact"/>
        <w:jc w:val="center"/>
        <w:rPr>
          <w:rFonts w:ascii="黑体" w:eastAsia="黑体" w:hAnsi="黑体" w:cs="黑体"/>
          <w:kern w:val="44"/>
          <w:sz w:val="32"/>
          <w:szCs w:val="48"/>
          <w:lang w:bidi="ar"/>
        </w:rPr>
      </w:pPr>
      <w:r>
        <w:rPr>
          <w:rFonts w:ascii="黑体" w:eastAsia="黑体" w:hAnsi="黑体" w:cs="黑体" w:hint="eastAsia"/>
          <w:kern w:val="44"/>
          <w:sz w:val="32"/>
          <w:szCs w:val="48"/>
          <w:lang w:bidi="ar"/>
        </w:rPr>
        <w:t xml:space="preserve">第二节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构建优质均衡教育体系</w:t>
      </w:r>
    </w:p>
    <w:p w14:paraId="183F81B4"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坚持以人民为中心发展教育，持续增加优质教育资源供给，塑造立德树人新格局，全方位打造教育良好生态。</w:t>
      </w:r>
    </w:p>
    <w:p w14:paraId="5F598936"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实施新时代立德树人工程。</w:t>
      </w:r>
      <w:r>
        <w:rPr>
          <w:rFonts w:ascii="宋体" w:eastAsia="方正仿宋简体" w:hAnsi="宋体" w:cs="方正仿宋简体" w:hint="eastAsia"/>
          <w:sz w:val="32"/>
          <w:szCs w:val="32"/>
        </w:rPr>
        <w:t>落实“五育”融合，促进学生德</w:t>
      </w:r>
      <w:r>
        <w:rPr>
          <w:rFonts w:ascii="宋体" w:eastAsia="方正仿宋简体" w:hAnsi="宋体" w:cs="方正仿宋简体" w:hint="eastAsia"/>
          <w:sz w:val="32"/>
          <w:szCs w:val="32"/>
        </w:rPr>
        <w:lastRenderedPageBreak/>
        <w:t>智体美劳全面发展。推进中小学思政课一体化建设，推动思政小课堂与社会大课堂深度融合。深化新时代教育评价改革，建立以学生全面发展为核心、兼顾学业质量与综合素质的评价体系。落实健康第一教育理念，实施学生体质强健计划，保障中小学生每天体育活动时间不低于</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小时，健全区、校、班三级体育比赛体系。推进教育系统精准化普法，建设“法治好课”课例库，建成</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个标准化法治教育实践基地。深化美育浸润计划，推进“一校一品、一校多品”特色发展，打造高水平学生艺术团和优质艺术作品。完善“行走汶河”、“品鉴钢城”研学体系，挖掘钢城工业文化、红色资源，打造小初高各阶段特色研学课程，构建全域覆盖的研学实践体系。</w:t>
      </w:r>
    </w:p>
    <w:p w14:paraId="35EE5BA4"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提高教育公共服务质量和水平。</w:t>
      </w:r>
      <w:r>
        <w:rPr>
          <w:rFonts w:ascii="宋体" w:eastAsia="方正仿宋简体" w:hAnsi="宋体" w:cs="方正仿宋简体" w:hint="eastAsia"/>
          <w:sz w:val="32"/>
          <w:szCs w:val="32"/>
        </w:rPr>
        <w:t>统筹推进学前教育优质普惠发展，到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年，普惠性幼儿园覆盖率稳定在</w:t>
      </w:r>
      <w:r>
        <w:rPr>
          <w:rFonts w:ascii="宋体" w:eastAsia="方正仿宋简体" w:hAnsi="宋体" w:cs="方正仿宋简体" w:hint="eastAsia"/>
          <w:sz w:val="32"/>
          <w:szCs w:val="32"/>
        </w:rPr>
        <w:t>98%</w:t>
      </w:r>
      <w:r>
        <w:rPr>
          <w:rFonts w:ascii="宋体" w:eastAsia="方正仿宋简体" w:hAnsi="宋体" w:cs="方正仿宋简体" w:hint="eastAsia"/>
          <w:sz w:val="32"/>
          <w:szCs w:val="32"/>
        </w:rPr>
        <w:t>以上，省级一类及以上优质园占比达到</w:t>
      </w:r>
      <w:r>
        <w:rPr>
          <w:rFonts w:ascii="宋体" w:eastAsia="方正仿宋简体" w:hAnsi="宋体" w:cs="方正仿宋简体" w:hint="eastAsia"/>
          <w:sz w:val="32"/>
          <w:szCs w:val="32"/>
        </w:rPr>
        <w:t>100%</w:t>
      </w:r>
      <w:r>
        <w:rPr>
          <w:rFonts w:ascii="宋体" w:eastAsia="方正仿宋简体" w:hAnsi="宋体" w:cs="方正仿宋简体" w:hint="eastAsia"/>
          <w:sz w:val="32"/>
          <w:szCs w:val="32"/>
        </w:rPr>
        <w:t>。健全与人口变化相适应的基础教育资源统筹调配机制，巩固国家县域义务教育优质均衡发展区创建成果，深化与山大基础教育集团合作办学，推动城乡学校共同体和中小学集团化办学。扩大普通高中教育资源供给，深化高中阶段学校多样化发展，加强莱芜四中特色高中和学科基地建设，引进培育学科带头人，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年，高中阶段教育毛入学率</w:t>
      </w:r>
      <w:r>
        <w:rPr>
          <w:rFonts w:ascii="宋体" w:eastAsia="方正仿宋简体" w:hAnsi="宋体" w:cs="方正仿宋简体" w:hint="eastAsia"/>
          <w:sz w:val="32"/>
          <w:szCs w:val="32"/>
        </w:rPr>
        <w:t>99%</w:t>
      </w:r>
      <w:r>
        <w:rPr>
          <w:rFonts w:ascii="宋体" w:eastAsia="方正仿宋简体" w:hAnsi="宋体" w:cs="方正仿宋简体" w:hint="eastAsia"/>
          <w:sz w:val="32"/>
          <w:szCs w:val="32"/>
        </w:rPr>
        <w:t>以上。规范民办教育发展，积极发展职业教育，健全特殊教育保障机制，增强残疾儿童少年家庭福祉。</w:t>
      </w:r>
    </w:p>
    <w:p w14:paraId="18A2A7DE" w14:textId="77777777" w:rsidR="00080503" w:rsidRDefault="003A23BA">
      <w:pPr>
        <w:overflowPunct w:val="0"/>
        <w:spacing w:after="240"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lastRenderedPageBreak/>
        <w:t>完善家校社协同育人体系。</w:t>
      </w:r>
      <w:r>
        <w:rPr>
          <w:rFonts w:ascii="宋体" w:eastAsia="方正仿宋简体" w:hAnsi="宋体" w:cs="方正仿宋简体" w:hint="eastAsia"/>
          <w:sz w:val="32"/>
          <w:szCs w:val="32"/>
        </w:rPr>
        <w:t>落实全员育人导师制，实施班主任育人关键能力提升计划，提升育人内在质量。弘扬教育家精神，加强高素质专业化教师队伍建设，实施教育家型名师名校长培养行动，健全分层分类、阶梯式教师成长体系。严格落实师德师风第一标准，完善教师待遇保障机制，减轻非教育教学负担。配齐建强心理健康教育专兼职教师队伍，开足开好心理健康教育课程，构建“四位一体”心理健康教育工作体系，培育身心健康的钢城学子。弘扬优良家风，培育向上向善家庭文化，引导子女参与文明实践、社会劳动和志愿服务活动，打造“钢好</w:t>
      </w:r>
      <w:r>
        <w:rPr>
          <w:rFonts w:ascii="宋体" w:eastAsia="方正仿宋简体" w:hAnsi="宋体" w:cs="方正仿宋简体" w:hint="eastAsia"/>
          <w:sz w:val="32"/>
          <w:szCs w:val="32"/>
        </w:rPr>
        <w:t>e</w:t>
      </w:r>
      <w:r>
        <w:rPr>
          <w:rFonts w:ascii="宋体" w:eastAsia="方正仿宋简体" w:hAnsi="宋体" w:cs="方正仿宋简体" w:hint="eastAsia"/>
          <w:sz w:val="32"/>
          <w:szCs w:val="32"/>
        </w:rPr>
        <w:t>家”家庭教育品牌。</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928"/>
      </w:tblGrid>
      <w:tr w:rsidR="00080503" w14:paraId="5FAA62F6" w14:textId="77777777">
        <w:trPr>
          <w:trHeight w:val="680"/>
          <w:jc w:val="center"/>
        </w:trPr>
        <w:tc>
          <w:tcPr>
            <w:tcW w:w="8929" w:type="dxa"/>
            <w:vAlign w:val="center"/>
          </w:tcPr>
          <w:p w14:paraId="48CE345C" w14:textId="77777777" w:rsidR="00080503" w:rsidRDefault="003A23BA">
            <w:pPr>
              <w:overflowPunct w:val="0"/>
              <w:spacing w:line="340" w:lineRule="exact"/>
              <w:jc w:val="center"/>
              <w:rPr>
                <w:rFonts w:ascii="宋体" w:eastAsia="方正楷体简体" w:hAnsi="宋体" w:cs="方正楷体简体"/>
                <w:sz w:val="28"/>
                <w:szCs w:val="28"/>
              </w:rPr>
            </w:pPr>
            <w:r>
              <w:rPr>
                <w:rFonts w:ascii="宋体" w:eastAsia="黑体" w:hAnsi="宋体" w:cs="黑体" w:hint="eastAsia"/>
                <w:sz w:val="28"/>
                <w:szCs w:val="28"/>
              </w:rPr>
              <w:t>专栏</w:t>
            </w:r>
            <w:r>
              <w:rPr>
                <w:rFonts w:ascii="宋体" w:eastAsia="黑体" w:hAnsi="宋体" w:cs="黑体" w:hint="eastAsia"/>
                <w:sz w:val="28"/>
                <w:szCs w:val="28"/>
              </w:rPr>
              <w:t xml:space="preserve">13  </w:t>
            </w:r>
            <w:r>
              <w:rPr>
                <w:rFonts w:ascii="宋体" w:eastAsia="黑体" w:hAnsi="宋体" w:cs="黑体" w:hint="eastAsia"/>
                <w:sz w:val="28"/>
                <w:szCs w:val="28"/>
              </w:rPr>
              <w:t>教育领域重大工程</w:t>
            </w:r>
          </w:p>
        </w:tc>
      </w:tr>
      <w:tr w:rsidR="00080503" w14:paraId="42AE73CB" w14:textId="77777777">
        <w:trPr>
          <w:trHeight w:val="5790"/>
          <w:jc w:val="center"/>
        </w:trPr>
        <w:tc>
          <w:tcPr>
            <w:tcW w:w="8929" w:type="dxa"/>
            <w:vAlign w:val="center"/>
          </w:tcPr>
          <w:p w14:paraId="7004176F" w14:textId="77777777" w:rsidR="00080503" w:rsidRDefault="003A23BA">
            <w:pPr>
              <w:overflowPunct w:val="0"/>
              <w:spacing w:line="400" w:lineRule="exact"/>
              <w:ind w:firstLineChars="200" w:firstLine="560"/>
              <w:rPr>
                <w:rFonts w:ascii="宋体" w:eastAsia="方正楷体简体" w:hAnsi="宋体" w:cs="方正楷体简体"/>
                <w:sz w:val="28"/>
                <w:szCs w:val="28"/>
              </w:rPr>
            </w:pPr>
            <w:bookmarkStart w:id="130" w:name="_Toc4459"/>
            <w:r>
              <w:rPr>
                <w:rFonts w:ascii="宋体" w:eastAsia="方正楷体简体" w:hAnsi="宋体" w:cs="方正楷体简体" w:hint="eastAsia"/>
                <w:sz w:val="28"/>
                <w:szCs w:val="28"/>
              </w:rPr>
              <w:t>市级科学教育示范校提质工程：</w:t>
            </w:r>
            <w:r>
              <w:rPr>
                <w:rFonts w:ascii="宋体" w:eastAsia="方正仿宋简体" w:hAnsi="宋体" w:cs="方正仿宋简体" w:hint="eastAsia"/>
                <w:sz w:val="28"/>
                <w:szCs w:val="28"/>
              </w:rPr>
              <w:t>以钢城区实验学校和辛庄八一希望小学为标杆，深化市级科学教育示范校建设，对接国家级科学教育实验区要求，提升区域科学教育整体水平。</w:t>
            </w:r>
          </w:p>
          <w:p w14:paraId="1481F93F"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楷体简体" w:hAnsi="宋体" w:cs="方正楷体简体" w:hint="eastAsia"/>
                <w:sz w:val="28"/>
                <w:szCs w:val="28"/>
              </w:rPr>
              <w:t>教育集团扩容增效工程：</w:t>
            </w:r>
            <w:r>
              <w:rPr>
                <w:rFonts w:ascii="宋体" w:eastAsia="方正仿宋简体" w:hAnsi="宋体" w:cs="方正仿宋简体" w:hint="eastAsia"/>
                <w:sz w:val="28"/>
                <w:szCs w:val="28"/>
              </w:rPr>
              <w:t>做强莱芜四中教育集团，扩大集团化办学覆盖面，推进教育资源整合共享，打造优质学校集群，助力全市基础教育集团化发展。</w:t>
            </w:r>
          </w:p>
          <w:p w14:paraId="7EC2AF3F"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楷体简体" w:hAnsi="宋体" w:cs="方正楷体简体" w:hint="eastAsia"/>
                <w:sz w:val="28"/>
                <w:szCs w:val="28"/>
              </w:rPr>
              <w:t>研学教育品牌升级工程：</w:t>
            </w:r>
            <w:r>
              <w:rPr>
                <w:rFonts w:ascii="宋体" w:eastAsia="方正仿宋简体" w:hAnsi="宋体" w:cs="方正仿宋简体" w:hint="eastAsia"/>
                <w:sz w:val="28"/>
                <w:szCs w:val="28"/>
              </w:rPr>
              <w:t>整合钢城研学资源，融入济南“泉”文化、黄河文化研学体系，优化“行走汶河”、“品鉴钢城”课程，打造区域特色研学品牌。</w:t>
            </w:r>
          </w:p>
          <w:p w14:paraId="7743A9C3" w14:textId="77777777" w:rsidR="00080503" w:rsidRDefault="003A23BA">
            <w:pPr>
              <w:overflowPunct w:val="0"/>
              <w:spacing w:line="400" w:lineRule="exact"/>
              <w:ind w:firstLineChars="200" w:firstLine="560"/>
              <w:rPr>
                <w:rFonts w:ascii="宋体" w:eastAsia="方正仿宋简体" w:hAnsi="宋体" w:cs="方正仿宋简体"/>
                <w:sz w:val="28"/>
                <w:szCs w:val="28"/>
              </w:rPr>
            </w:pPr>
            <w:r>
              <w:rPr>
                <w:rFonts w:ascii="宋体" w:eastAsia="方正楷体简体" w:hAnsi="宋体" w:cs="方正楷体简体" w:hint="eastAsia"/>
                <w:sz w:val="28"/>
                <w:szCs w:val="28"/>
              </w:rPr>
              <w:t>思政教育提质赋能工程：</w:t>
            </w:r>
            <w:r>
              <w:rPr>
                <w:rFonts w:ascii="宋体" w:eastAsia="方正仿宋简体" w:hAnsi="宋体" w:cs="方正仿宋简体" w:hint="eastAsia"/>
                <w:sz w:val="28"/>
                <w:szCs w:val="28"/>
              </w:rPr>
              <w:t>依托市级思政课建设联盟和区级指导中心，完善中小学思政课一体化建设机制，丰富思政教育实践载体，提升思政教育实效性。</w:t>
            </w:r>
          </w:p>
          <w:p w14:paraId="72467D05" w14:textId="77777777" w:rsidR="00080503" w:rsidRDefault="003A23BA">
            <w:pPr>
              <w:overflowPunct w:val="0"/>
              <w:spacing w:line="400" w:lineRule="exact"/>
              <w:ind w:firstLineChars="200" w:firstLine="560"/>
              <w:rPr>
                <w:rFonts w:ascii="宋体" w:eastAsia="方正楷体简体" w:hAnsi="宋体" w:cs="方正楷体简体"/>
                <w:sz w:val="28"/>
                <w:szCs w:val="28"/>
              </w:rPr>
            </w:pPr>
            <w:r>
              <w:rPr>
                <w:rFonts w:ascii="宋体" w:eastAsia="方正楷体简体" w:hAnsi="宋体" w:cs="方正楷体简体" w:hint="eastAsia"/>
                <w:sz w:val="28"/>
                <w:szCs w:val="28"/>
              </w:rPr>
              <w:t>职业教育建设工程：</w:t>
            </w:r>
            <w:r>
              <w:rPr>
                <w:rFonts w:ascii="宋体" w:eastAsia="方正仿宋简体" w:hAnsi="宋体" w:cs="方正仿宋简体" w:hint="eastAsia"/>
                <w:sz w:val="28"/>
                <w:szCs w:val="28"/>
              </w:rPr>
              <w:t>筹备建设钢城区应急管理产教融合项目，构建“教育—科研—产业”三位一体生态体系，打造应急产业教育融合基地。</w:t>
            </w:r>
          </w:p>
        </w:tc>
      </w:tr>
    </w:tbl>
    <w:bookmarkEnd w:id="130"/>
    <w:p w14:paraId="2460C84E" w14:textId="77777777" w:rsidR="00080503" w:rsidRDefault="003A23BA">
      <w:pPr>
        <w:overflowPunct w:val="0"/>
        <w:spacing w:before="240" w:after="240" w:line="616" w:lineRule="exact"/>
        <w:jc w:val="center"/>
        <w:rPr>
          <w:rFonts w:ascii="黑体" w:eastAsia="黑体" w:hAnsi="黑体" w:cs="方正仿宋简体"/>
          <w:sz w:val="32"/>
          <w:szCs w:val="32"/>
        </w:rPr>
      </w:pPr>
      <w:r>
        <w:rPr>
          <w:rFonts w:ascii="黑体" w:eastAsia="黑体" w:hAnsi="黑体" w:cs="方正仿宋简体" w:hint="eastAsia"/>
          <w:sz w:val="32"/>
          <w:szCs w:val="32"/>
        </w:rPr>
        <w:lastRenderedPageBreak/>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加快建设健康钢城</w:t>
      </w:r>
    </w:p>
    <w:p w14:paraId="3B3A7BE3"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以守护群众全生命周期健康为主线，以基础设施升级、医疗质量创优、诊疗能力提质、公共服务增效为支点，完善人口高质量发展支撑体系，全面提升居民健康素养。</w:t>
      </w:r>
    </w:p>
    <w:p w14:paraId="63EF7CA4"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提升医疗综合服务保障能力。</w:t>
      </w:r>
      <w:r>
        <w:rPr>
          <w:rFonts w:ascii="宋体" w:eastAsia="方正仿宋简体" w:hAnsi="宋体" w:cs="方正仿宋简体" w:hint="eastAsia"/>
          <w:sz w:val="32"/>
          <w:szCs w:val="32"/>
        </w:rPr>
        <w:t>加快推进优质医疗资源共享，加快与济南市第八人民医院的城市医疗集团建设，深化与齐鲁医院、省立医院等省内外高层次医疗机构合作，探索国际化合作路径，让优质医疗资源更好惠及辖区群众。推动山东颐养健康集团莱芜中心医院创建三级医院、区人民医院创建二级甲等医院，区中医医院二期、区公共卫生中心实现建成投用。实施村卫生室改造提升工程，支持汶源、颜庄卫生院有序改扩建，谋划建设</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处区级精神卫生防治机构。健全质量安全管理体系，依托</w:t>
      </w:r>
      <w:r>
        <w:rPr>
          <w:rFonts w:ascii="宋体" w:eastAsia="方正仿宋简体" w:hAnsi="宋体" w:cs="方正仿宋简体" w:hint="eastAsia"/>
          <w:sz w:val="32"/>
          <w:szCs w:val="32"/>
        </w:rPr>
        <w:t>29</w:t>
      </w:r>
      <w:r>
        <w:rPr>
          <w:rFonts w:ascii="宋体" w:eastAsia="方正仿宋简体" w:hAnsi="宋体" w:cs="方正仿宋简体" w:hint="eastAsia"/>
          <w:sz w:val="32"/>
          <w:szCs w:val="32"/>
        </w:rPr>
        <w:t>个区级医疗质量控制中心，定期开展质量控制检查和评估。</w:t>
      </w:r>
    </w:p>
    <w:p w14:paraId="7CDB9DBE"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推动诊疗能力提质增效。</w:t>
      </w:r>
      <w:r>
        <w:rPr>
          <w:rFonts w:ascii="宋体" w:eastAsia="方正仿宋简体" w:hAnsi="宋体" w:cs="方正仿宋简体" w:hint="eastAsia"/>
          <w:sz w:val="32"/>
          <w:szCs w:val="32"/>
        </w:rPr>
        <w:t>聚焦重点学科建设，区人民医院力争</w:t>
      </w:r>
      <w:r>
        <w:rPr>
          <w:rFonts w:ascii="宋体" w:eastAsia="方正仿宋简体" w:hAnsi="宋体" w:cs="方正仿宋简体" w:hint="eastAsia"/>
          <w:sz w:val="32"/>
          <w:szCs w:val="32"/>
        </w:rPr>
        <w:t>1</w:t>
      </w:r>
      <w:r>
        <w:rPr>
          <w:rFonts w:ascii="宋体" w:eastAsia="方正仿宋简体" w:hAnsi="宋体" w:cs="方正仿宋简体" w:hint="eastAsia"/>
          <w:sz w:val="32"/>
          <w:szCs w:val="32"/>
        </w:rPr>
        <w:t>—</w:t>
      </w:r>
      <w:r>
        <w:rPr>
          <w:rFonts w:ascii="宋体" w:eastAsia="方正仿宋简体" w:hAnsi="宋体" w:cs="方正仿宋简体" w:hint="eastAsia"/>
          <w:sz w:val="32"/>
          <w:szCs w:val="32"/>
        </w:rPr>
        <w:t>2</w:t>
      </w:r>
      <w:r>
        <w:rPr>
          <w:rFonts w:ascii="宋体" w:eastAsia="方正仿宋简体" w:hAnsi="宋体" w:cs="方正仿宋简体" w:hint="eastAsia"/>
          <w:sz w:val="32"/>
          <w:szCs w:val="32"/>
        </w:rPr>
        <w:t>个专科达到市级重点专科水平。基层医疗机构在全科医学、中医康复、慢性病管理等特色领域，建设特色服务专科，区疾控中心重点提升重大传染病防控和突发公共卫生事件应急处置能力，完善中医药传承创新发展机制。强化基层医疗机构及村卫生室常见病诊治能力，构建分级诊疗格局，基层医疗机构诊疗量占比达到</w:t>
      </w:r>
      <w:r>
        <w:rPr>
          <w:rFonts w:ascii="宋体" w:eastAsia="方正仿宋简体" w:hAnsi="宋体" w:cs="方正仿宋简体" w:hint="eastAsia"/>
          <w:sz w:val="32"/>
          <w:szCs w:val="32"/>
        </w:rPr>
        <w:t>60%</w:t>
      </w:r>
      <w:r>
        <w:rPr>
          <w:rFonts w:ascii="宋体" w:eastAsia="方正仿宋简体" w:hAnsi="宋体" w:cs="方正仿宋简体" w:hint="eastAsia"/>
          <w:sz w:val="32"/>
          <w:szCs w:val="32"/>
        </w:rPr>
        <w:t>，区域内就诊率达到</w:t>
      </w:r>
      <w:r>
        <w:rPr>
          <w:rFonts w:ascii="宋体" w:eastAsia="方正仿宋简体" w:hAnsi="宋体" w:cs="方正仿宋简体" w:hint="eastAsia"/>
          <w:sz w:val="32"/>
          <w:szCs w:val="32"/>
        </w:rPr>
        <w:t>90%</w:t>
      </w:r>
      <w:r>
        <w:rPr>
          <w:rFonts w:ascii="宋体" w:eastAsia="方正仿宋简体" w:hAnsi="宋体" w:cs="方正仿宋简体" w:hint="eastAsia"/>
          <w:sz w:val="32"/>
          <w:szCs w:val="32"/>
        </w:rPr>
        <w:t>。</w:t>
      </w:r>
    </w:p>
    <w:p w14:paraId="0D60D818"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lastRenderedPageBreak/>
        <w:t>推动公共服务升级赋能。</w:t>
      </w:r>
      <w:r>
        <w:rPr>
          <w:rFonts w:ascii="宋体" w:eastAsia="方正仿宋简体" w:hAnsi="宋体" w:cs="方正仿宋简体"/>
          <w:sz w:val="32"/>
          <w:szCs w:val="32"/>
        </w:rPr>
        <w:t>聚焦推动城乡基本公共服务均等化，</w:t>
      </w:r>
      <w:r>
        <w:rPr>
          <w:rFonts w:ascii="宋体" w:eastAsia="方正仿宋简体" w:hAnsi="宋体" w:cs="方正仿宋简体" w:hint="eastAsia"/>
          <w:sz w:val="32"/>
          <w:szCs w:val="32"/>
        </w:rPr>
        <w:t>优化完善预防接种服务体系，保持高水平的免疫规划疫苗接种率，构建坚实免疫屏障。加强适龄妇女、职业人群、严重精神障碍患者管理服务和老年人健康保健，纵深推进医养结合发展，更好满足老年人健康养老服务需求。扎实开展爱国卫生月、世界无烟日等群众性爱国卫生活动，大力开展讲卫生、推进“健康知识进万家”活动，营造良好社会支持环境，提高群众健康素养。</w:t>
      </w:r>
    </w:p>
    <w:p w14:paraId="7D7985D9" w14:textId="77777777" w:rsidR="00080503" w:rsidRDefault="003A23BA">
      <w:pPr>
        <w:overflowPunct w:val="0"/>
        <w:spacing w:before="240" w:after="240" w:line="616" w:lineRule="exact"/>
        <w:jc w:val="center"/>
        <w:rPr>
          <w:rFonts w:ascii="黑体" w:eastAsia="黑体" w:hAnsi="黑体" w:cs="黑体"/>
          <w:kern w:val="44"/>
          <w:sz w:val="32"/>
          <w:szCs w:val="48"/>
          <w:lang w:bidi="ar"/>
        </w:rPr>
      </w:pPr>
      <w:r>
        <w:rPr>
          <w:rFonts w:ascii="黑体" w:eastAsia="黑体" w:hAnsi="黑体" w:cs="黑体" w:hint="eastAsia"/>
          <w:kern w:val="44"/>
          <w:sz w:val="32"/>
          <w:szCs w:val="48"/>
          <w:lang w:bidi="ar"/>
        </w:rPr>
        <w:t xml:space="preserve">第四节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健全社会保障体系</w:t>
      </w:r>
    </w:p>
    <w:p w14:paraId="0DCABAF4"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紧紧抓住人民最关心最直接最现实的利益问题，进一步织密社会保障网络，为人民群众提供更加充分、更加可靠、更加公平的社会保障。</w:t>
      </w:r>
    </w:p>
    <w:p w14:paraId="071CACD6"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健全社会保险机制。</w:t>
      </w:r>
      <w:r>
        <w:rPr>
          <w:rFonts w:ascii="宋体" w:eastAsia="方正仿宋简体" w:hAnsi="宋体" w:cs="方正仿宋简体" w:hint="eastAsia"/>
          <w:sz w:val="32"/>
          <w:szCs w:val="32"/>
        </w:rPr>
        <w:t>实施全民参保计划，聚焦农民工、个体从业、灵活就业及新业态从业人员等群体推进参保扩面，抓实社保待遇经办，推进被征地农民等困难群体参保，推动社保服务精细化、智能化，提升城乡服务均等化水平和办事体验。推进医保参保扩面提质，确保基本医疗保险参保率稳定在</w:t>
      </w:r>
      <w:r>
        <w:rPr>
          <w:rFonts w:ascii="宋体" w:eastAsia="方正仿宋简体" w:hAnsi="宋体" w:cs="方正仿宋简体" w:hint="eastAsia"/>
          <w:sz w:val="32"/>
          <w:szCs w:val="32"/>
        </w:rPr>
        <w:t>98%</w:t>
      </w:r>
      <w:r>
        <w:rPr>
          <w:rFonts w:ascii="宋体" w:eastAsia="方正仿宋简体" w:hAnsi="宋体" w:cs="方正仿宋简体" w:hint="eastAsia"/>
          <w:sz w:val="32"/>
          <w:szCs w:val="32"/>
        </w:rPr>
        <w:t>以上，落实长期护理保险制度，逐步扩大长护覆盖范围，完善大病保险和医疗救助制度，积极发展普惠型商业补充医疗保险。</w:t>
      </w:r>
    </w:p>
    <w:p w14:paraId="2C596AE9"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筑牢兜底保障防线。</w:t>
      </w:r>
      <w:r>
        <w:rPr>
          <w:rFonts w:ascii="宋体" w:eastAsia="方正仿宋简体" w:hAnsi="宋体" w:cs="方正仿宋简体" w:hint="eastAsia"/>
          <w:sz w:val="32"/>
          <w:szCs w:val="32"/>
        </w:rPr>
        <w:t>健全分层分类的社会救助体系，加强社会救助动态监测和救助帮扶，建立健全“救急难”工作机制，全</w:t>
      </w:r>
      <w:r>
        <w:rPr>
          <w:rFonts w:ascii="宋体" w:eastAsia="方正仿宋简体" w:hAnsi="宋体" w:cs="方正仿宋简体" w:hint="eastAsia"/>
          <w:sz w:val="32"/>
          <w:szCs w:val="32"/>
        </w:rPr>
        <w:lastRenderedPageBreak/>
        <w:t>面推进无障碍城市建设。构建覆盖全面、分层分类、资源统筹、综合高效的社会救助大格局，推动社会救助由“保生存”向“保基本、防风险、促发展”拓展，加强社会救助动态监测和帮扶，积极创新发展“物质＋服务”综合救助模式，兜牢民生底线。加强空巢老人、困境儿童、残疾人等群体关爱服务。</w:t>
      </w:r>
    </w:p>
    <w:p w14:paraId="74918161"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完善住房保障体系。</w:t>
      </w:r>
      <w:r>
        <w:rPr>
          <w:rFonts w:ascii="宋体" w:eastAsia="方正仿宋简体" w:hAnsi="宋体" w:cs="方正仿宋简体" w:hint="eastAsia"/>
          <w:sz w:val="32"/>
          <w:szCs w:val="32"/>
        </w:rPr>
        <w:t>不断完善“市场＋保障”住房供应体系，持续发挥高品质住宅试点项目的示范作用，打造好房子、好小区、好社区、好城区，更好满足人民群众日益增长的居住需求。加速推进保障性租赁住房项目建设，持续做好购房补贴及租赁住房补贴的审核、公示及发放工作。深入实施住房租赁中介机构、住房租赁企业乱象专项整治行动，加大住房租赁监管力度。</w:t>
      </w:r>
    </w:p>
    <w:p w14:paraId="7A269BC7"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稳步推进基本公共服务均等化。</w:t>
      </w:r>
      <w:r>
        <w:rPr>
          <w:rFonts w:ascii="宋体" w:eastAsia="方正仿宋简体" w:hAnsi="宋体" w:cs="方正仿宋简体" w:hint="eastAsia"/>
          <w:sz w:val="32"/>
          <w:szCs w:val="32"/>
        </w:rPr>
        <w:t>健全与常住人口相匹配的公共资源配置机制，完善基本公共服务均等化评价标准。调整优化公共服务资源布局，更加注重向基层下沉、向农村覆盖、向生活困难群众倾斜。全面深化事业单位改革，完善社会力量办社会事业政策制度，推动形成公共服务多元化供给机制。加强基本公共服务供给统筹，完善投入保障长效机制。推动供给模式创新，稳步提高公共服务水平。加强公益性基本殡葬服务，完善基础设施供给，深化殡葬移风易俗，推广生态安葬。</w:t>
      </w:r>
    </w:p>
    <w:p w14:paraId="1045B198" w14:textId="77777777" w:rsidR="00080503" w:rsidRDefault="00080503">
      <w:pPr>
        <w:overflowPunct w:val="0"/>
        <w:spacing w:before="240" w:after="240" w:line="616" w:lineRule="exact"/>
        <w:jc w:val="center"/>
        <w:rPr>
          <w:rFonts w:ascii="黑体" w:eastAsia="黑体" w:hAnsi="黑体" w:cs="黑体"/>
          <w:kern w:val="44"/>
          <w:sz w:val="32"/>
          <w:szCs w:val="48"/>
          <w:lang w:bidi="ar"/>
        </w:rPr>
      </w:pPr>
    </w:p>
    <w:p w14:paraId="6525A431" w14:textId="77777777" w:rsidR="00080503" w:rsidRDefault="003A23BA">
      <w:pPr>
        <w:overflowPunct w:val="0"/>
        <w:spacing w:before="240" w:after="240" w:line="616" w:lineRule="exact"/>
        <w:jc w:val="center"/>
        <w:rPr>
          <w:rFonts w:ascii="黑体" w:eastAsia="黑体" w:hAnsi="黑体" w:cs="黑体"/>
          <w:kern w:val="44"/>
          <w:sz w:val="32"/>
          <w:szCs w:val="48"/>
          <w:lang w:bidi="ar"/>
        </w:rPr>
      </w:pPr>
      <w:r>
        <w:rPr>
          <w:rFonts w:ascii="黑体" w:eastAsia="黑体" w:hAnsi="黑体" w:cs="黑体" w:hint="eastAsia"/>
          <w:kern w:val="44"/>
          <w:sz w:val="32"/>
          <w:szCs w:val="48"/>
          <w:lang w:bidi="ar"/>
        </w:rPr>
        <w:lastRenderedPageBreak/>
        <w:t xml:space="preserve">第五节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促进人口高质量发展</w:t>
      </w:r>
    </w:p>
    <w:p w14:paraId="731FC9C4"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积极应对少子化、老龄化等人口发展趋势，加大全龄友好城区建设力度，以人口高质量发展促进经济社会高质量发展。</w:t>
      </w:r>
    </w:p>
    <w:p w14:paraId="270463C9"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建设生育友好型城区。</w:t>
      </w:r>
      <w:r>
        <w:rPr>
          <w:rFonts w:ascii="宋体" w:eastAsia="方正仿宋简体" w:hAnsi="宋体" w:cs="方正仿宋简体" w:hint="eastAsia"/>
          <w:sz w:val="32"/>
          <w:szCs w:val="32"/>
        </w:rPr>
        <w:t>全面落实生育补贴及配套支持政策，推动灵活就业人员、农民工、新就业形态劳动者纳入生育保险，减轻生育负担。改善优生优育全程服务，提升孕前、孕期、产后服务质量，夯实出生缺陷三级预防网络体系。落实母婴安全保障能力提升行动，加快推进生育友好医院、儿童友好医院建设，深化早孕关爱行动。促进托育机构质量提升，建立托育从业人员目录库，定期开展公益培训和职业技能培训，加强监督检查，强化托育市场规范管理。健全普惠性托育服务体系，推动必要母婴服务设施全面布局，建设生育友好型城区。</w:t>
      </w:r>
    </w:p>
    <w:p w14:paraId="70F9DF80"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建设儿童友好型城区。</w:t>
      </w:r>
      <w:r>
        <w:rPr>
          <w:rFonts w:ascii="宋体" w:eastAsia="方正仿宋简体" w:hAnsi="宋体" w:cs="方正仿宋简体" w:hint="eastAsia"/>
          <w:sz w:val="32"/>
          <w:szCs w:val="32"/>
        </w:rPr>
        <w:t>推进儿童友好理念融入城乡规划建设，践行“一米高度看城市”理念，优化公共资源配置，适应儿童身心发展。“插花式”推进小微公共空间适儿化改造，以儿童健康成长需求为导向，对老旧小区、口袋公园、街头转角、围墙等小微公共空间开展更新改造，打造儿童乐享的活动空间，为儿童提供更加多元化、精准化、个性化的服务。开展“六一”儿童友好宣传月活动，综合利用社交媒体平台，打造钢城儿童友好品牌。</w:t>
      </w:r>
    </w:p>
    <w:p w14:paraId="5072F0E3"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lastRenderedPageBreak/>
        <w:t>建设青年发展型城区。</w:t>
      </w:r>
      <w:r>
        <w:rPr>
          <w:rFonts w:ascii="宋体" w:eastAsia="方正仿宋简体" w:hAnsi="宋体" w:cs="方正仿宋简体" w:hint="eastAsia"/>
          <w:sz w:val="32"/>
          <w:szCs w:val="32"/>
        </w:rPr>
        <w:t>深化青年发展型城区建设，聚焦青年需求、回应青年关切，构建宜居宜业、充满活力的青年发展生态。健全青年创新创业帮扶机制，拓宽青年就业发展渠道，常态化开展观摩交流、实践锻炼、技能培训等活动，引导青年在科技创新、双招双引、乡村振兴等领域担当作为，积极投身钢城经济社会高质量发展。丰富青年社交活动，优化服务供给，活用区内公园游园、商业街区等各类资源，助力青春消费，打造青年集聚区，全面提升城市对青年的吸引力和承载力。</w:t>
      </w:r>
    </w:p>
    <w:p w14:paraId="4AB9613B"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建设老年友好型城区。</w:t>
      </w:r>
      <w:r>
        <w:rPr>
          <w:rFonts w:ascii="宋体" w:eastAsia="方正仿宋简体" w:hAnsi="宋体" w:cs="方正仿宋简体" w:hint="eastAsia"/>
          <w:sz w:val="32"/>
          <w:szCs w:val="32"/>
        </w:rPr>
        <w:t>积极应对人口老龄化，完善居家社区机构相协调、医养康养相结合的养老服务体系，健全区、街道、社区（村）三级养老服务网络。发挥区养老服务中心辐射带动作用，推进棋山颐养中心建设，推动全区养老服务资源高效利用，力争</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年全区养老床位达</w:t>
      </w:r>
      <w:r>
        <w:rPr>
          <w:rFonts w:ascii="宋体" w:eastAsia="方正仿宋简体" w:hAnsi="宋体" w:cs="方正仿宋简体" w:hint="eastAsia"/>
          <w:sz w:val="32"/>
          <w:szCs w:val="32"/>
        </w:rPr>
        <w:t>1000</w:t>
      </w:r>
      <w:r>
        <w:rPr>
          <w:rFonts w:ascii="宋体" w:eastAsia="方正仿宋简体" w:hAnsi="宋体" w:cs="方正仿宋简体" w:hint="eastAsia"/>
          <w:sz w:val="32"/>
          <w:szCs w:val="32"/>
        </w:rPr>
        <w:t>张，护理型床位占比</w:t>
      </w:r>
      <w:r>
        <w:rPr>
          <w:rFonts w:ascii="宋体" w:eastAsia="方正仿宋简体" w:hAnsi="宋体" w:cs="方正仿宋简体" w:hint="eastAsia"/>
          <w:sz w:val="32"/>
          <w:szCs w:val="32"/>
        </w:rPr>
        <w:t>90%</w:t>
      </w:r>
      <w:r>
        <w:rPr>
          <w:rFonts w:ascii="宋体" w:eastAsia="方正仿宋简体" w:hAnsi="宋体" w:cs="方正仿宋简体" w:hint="eastAsia"/>
          <w:sz w:val="32"/>
          <w:szCs w:val="32"/>
        </w:rPr>
        <w:t>以上，加强失能失智老年人照护，发展认知障碍照护专区。擦亮农村养老品牌，提升农村幸福食堂规范化标准化管理水平，以助餐为基础，拓展助浴、助医、助洁、助行、精神慰藉等刚需服务。完善社区养老服务，推广“钢暖心”社区助老驿站模式，大力发展健康指导、康复护理、家政入户、助餐助浴、家庭养老床位等服务。提升老龄工作成效，加强老年人权益保障，积极争创全国示范性老年友好型社区和全国“敬老文明号”。</w:t>
      </w:r>
    </w:p>
    <w:p w14:paraId="4FF81F8C"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sz w:val="32"/>
          <w:szCs w:val="32"/>
        </w:rPr>
        <w:br w:type="page"/>
      </w:r>
    </w:p>
    <w:p w14:paraId="094894A5" w14:textId="77777777" w:rsidR="00080503" w:rsidRDefault="00080503">
      <w:pPr>
        <w:overflowPunct w:val="0"/>
        <w:spacing w:line="616" w:lineRule="exact"/>
        <w:jc w:val="center"/>
        <w:outlineLvl w:val="2"/>
        <w:rPr>
          <w:rFonts w:ascii="方正小标宋简体" w:eastAsia="方正小标宋简体" w:hAnsi="宋体" w:cs="方正仿宋简体"/>
          <w:sz w:val="44"/>
          <w:szCs w:val="44"/>
        </w:rPr>
      </w:pPr>
    </w:p>
    <w:p w14:paraId="436D9304" w14:textId="77777777" w:rsidR="00080503" w:rsidRDefault="003A23BA">
      <w:pPr>
        <w:overflowPunct w:val="0"/>
        <w:spacing w:line="616" w:lineRule="exact"/>
        <w:jc w:val="center"/>
        <w:outlineLvl w:val="2"/>
        <w:rPr>
          <w:rFonts w:ascii="方正小标宋简体" w:eastAsia="方正小标宋简体" w:hAnsi="宋体" w:cs="方正小标宋简体"/>
          <w:sz w:val="44"/>
          <w:szCs w:val="44"/>
        </w:rPr>
      </w:pPr>
      <w:r>
        <w:rPr>
          <w:rFonts w:ascii="方正小标宋简体" w:eastAsia="方正小标宋简体" w:hAnsi="宋体" w:cs="方正仿宋简体" w:hint="eastAsia"/>
          <w:sz w:val="44"/>
          <w:szCs w:val="44"/>
        </w:rPr>
        <w:t xml:space="preserve">第十二章  </w:t>
      </w:r>
      <w:r>
        <w:rPr>
          <w:rFonts w:ascii="方正小标宋简体" w:eastAsia="方正小标宋简体" w:hAnsi="宋体" w:cs="方正小标宋简体" w:hint="eastAsia"/>
          <w:sz w:val="44"/>
          <w:szCs w:val="44"/>
        </w:rPr>
        <w:t>扎实推进社会治理现代化</w:t>
      </w:r>
    </w:p>
    <w:p w14:paraId="59E85A3B" w14:textId="77777777" w:rsidR="00080503" w:rsidRDefault="003A23BA">
      <w:pPr>
        <w:overflowPunct w:val="0"/>
        <w:spacing w:line="616" w:lineRule="exact"/>
        <w:jc w:val="center"/>
        <w:outlineLvl w:val="2"/>
        <w:rPr>
          <w:rFonts w:ascii="方正小标宋简体" w:eastAsia="方正小标宋简体" w:hAnsi="宋体" w:cs="方正仿宋简体"/>
          <w:sz w:val="44"/>
          <w:szCs w:val="44"/>
        </w:rPr>
      </w:pPr>
      <w:r>
        <w:rPr>
          <w:rFonts w:ascii="方正小标宋简体" w:eastAsia="方正小标宋简体" w:hAnsi="宋体" w:cs="方正小标宋简体" w:hint="eastAsia"/>
          <w:sz w:val="44"/>
          <w:szCs w:val="44"/>
        </w:rPr>
        <w:t>建设更高水平平安钢城</w:t>
      </w:r>
    </w:p>
    <w:p w14:paraId="65477988" w14:textId="77777777" w:rsidR="00080503" w:rsidRDefault="00080503">
      <w:pPr>
        <w:overflowPunct w:val="0"/>
        <w:spacing w:line="616" w:lineRule="exact"/>
        <w:ind w:firstLineChars="200" w:firstLine="640"/>
        <w:outlineLvl w:val="2"/>
        <w:rPr>
          <w:rFonts w:ascii="宋体" w:eastAsia="方正仿宋简体" w:hAnsi="宋体" w:cs="方正仿宋简体"/>
          <w:sz w:val="32"/>
          <w:szCs w:val="32"/>
        </w:rPr>
      </w:pPr>
    </w:p>
    <w:p w14:paraId="0B91DC69"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坚持把安全发展贯穿经济社会发展全过程各领域，深入贯彻总体国家安全观，有效防范化解重大风险，坚决守牢安全底线，促进高质量发展和高水平安全良性互动。</w:t>
      </w:r>
    </w:p>
    <w:p w14:paraId="67DD004E" w14:textId="77777777" w:rsidR="00080503" w:rsidRDefault="003A23BA">
      <w:pPr>
        <w:overflowPunct w:val="0"/>
        <w:spacing w:before="240" w:after="240" w:line="616" w:lineRule="exact"/>
        <w:jc w:val="center"/>
        <w:outlineLvl w:val="2"/>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加强民主法治保障</w:t>
      </w:r>
    </w:p>
    <w:p w14:paraId="170E5E8F"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坚持党的领导、人民当家作主、依法治国有机统一，发展全过程人民民主，全面推进法治钢城建设，将制度优势更好转化为治理效能。</w:t>
      </w:r>
    </w:p>
    <w:p w14:paraId="45D56518"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坚持和发展全过程人民民主。</w:t>
      </w:r>
      <w:r>
        <w:rPr>
          <w:rFonts w:ascii="宋体" w:eastAsia="方正仿宋简体" w:hAnsi="宋体" w:cs="方正仿宋简体" w:hint="eastAsia"/>
          <w:sz w:val="32"/>
          <w:szCs w:val="32"/>
        </w:rPr>
        <w:t>支持和保证人大及其常委会依法行使职权，密切政府部门同人大代表的联系，高质量办理人大代表建议和议案，推动解决经济社会发展重大问题和群众切身利益问题。支持政协发挥政治协商、民主监督、参政议政作用，建强用好“商量”议政平台，畅通民主党派、人民团体、基层组织和社会各界建言献策渠道。全面贯彻党的民族政策，积极引导宗教与社会主义社会相适应。发挥好工会、共青团、妇联等群团组织联系服务群众的桥梁纽带作用，切实维护群众合法权益。完善大统战工作格局，促进政党关系、民族关系、宗教关系、阶层关</w:t>
      </w:r>
      <w:r>
        <w:rPr>
          <w:rFonts w:ascii="宋体" w:eastAsia="方正仿宋简体" w:hAnsi="宋体" w:cs="方正仿宋简体" w:hint="eastAsia"/>
          <w:sz w:val="32"/>
          <w:szCs w:val="32"/>
        </w:rPr>
        <w:lastRenderedPageBreak/>
        <w:t>系、海内外同胞关系和谐有序。健全党组织领导下的基层群众自治制度，完善以职工代表大会为基本形式的企事业单位民主管理制度，依法保障群众知情权、参与权、表达权和监督权。</w:t>
      </w:r>
    </w:p>
    <w:p w14:paraId="5D2AC535"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bookmarkStart w:id="131" w:name="_Toc29466"/>
      <w:r>
        <w:rPr>
          <w:rFonts w:ascii="宋体" w:eastAsia="方正楷体简体" w:hAnsi="宋体" w:cs="方正楷体简体" w:hint="eastAsia"/>
          <w:kern w:val="0"/>
          <w:sz w:val="32"/>
          <w:szCs w:val="36"/>
          <w:lang w:bidi="ar"/>
        </w:rPr>
        <w:t>扎实推进法治钢城建设</w:t>
      </w:r>
      <w:bookmarkEnd w:id="131"/>
      <w:r>
        <w:rPr>
          <w:rFonts w:ascii="宋体" w:eastAsia="方正楷体简体" w:hAnsi="宋体" w:cs="方正楷体简体" w:hint="eastAsia"/>
          <w:kern w:val="0"/>
          <w:sz w:val="32"/>
          <w:szCs w:val="36"/>
          <w:lang w:bidi="ar"/>
        </w:rPr>
        <w:t>。</w:t>
      </w:r>
      <w:r>
        <w:rPr>
          <w:rFonts w:ascii="宋体" w:eastAsia="方正仿宋简体" w:hAnsi="宋体" w:cs="方正仿宋简体" w:hint="eastAsia"/>
          <w:sz w:val="32"/>
          <w:szCs w:val="32"/>
        </w:rPr>
        <w:t>分层级、分领域深化习近平法治思想学习宣传，统筹推进严格执法、公正司法、全民守法。深入建设法治政府，推动政府机构、职能、权限、程序、责任法定化，规范重大行政决策程序，健全合法性审查机制。坚持严格规范公正文明执法，加强执法队伍专业化建设，健全行政执法协调监督体系，完善行政复议体制机制，提升行政争议实质性化解能力，深化府院、府检联动。推进公正司法，落实监察、公安、检察、审判、司法行政机关各司其职，强化执法司法信息共享与程序衔接，深化审判权与执行权分离改革，实现刑事案件律师辩护全覆盖。加快法治社会建设，以《法治宣传教育法》为遵循、“九五”普法为抓手，落实“谁执法谁普法”责任制，提升全民法治素养。深化社会治理法治化，推进法治学校、法治医院、法治企业、法治乡村、法治社区建设，健全城乡公共法律服务体系，升级区公共法律服务中心功能，推动各司法所全部建成省级中型司法所，强化法律供给。</w:t>
      </w:r>
    </w:p>
    <w:p w14:paraId="37554EB9" w14:textId="77777777" w:rsidR="00080503" w:rsidRDefault="003A23BA">
      <w:pPr>
        <w:overflowPunct w:val="0"/>
        <w:spacing w:before="240" w:after="240" w:line="616" w:lineRule="exact"/>
        <w:jc w:val="center"/>
        <w:outlineLvl w:val="2"/>
        <w:rPr>
          <w:rFonts w:ascii="黑体" w:eastAsia="黑体" w:hAnsi="黑体" w:cs="方正仿宋简体"/>
          <w:sz w:val="32"/>
          <w:szCs w:val="32"/>
        </w:rPr>
      </w:pPr>
      <w:r>
        <w:rPr>
          <w:rFonts w:ascii="黑体" w:eastAsia="黑体" w:hAnsi="黑体" w:cs="方正仿宋简体" w:hint="eastAsia"/>
          <w:sz w:val="32"/>
          <w:szCs w:val="32"/>
        </w:rPr>
        <w:t xml:space="preserve">第二节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守牢重点领域安全底线</w:t>
      </w:r>
    </w:p>
    <w:p w14:paraId="61DF0B58"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统筹发展和安全，增强忧患意识，树牢底线思维，健全安全</w:t>
      </w:r>
      <w:r>
        <w:rPr>
          <w:rFonts w:ascii="宋体" w:eastAsia="方正仿宋简体" w:hAnsi="宋体" w:cs="方正仿宋简体" w:hint="eastAsia"/>
          <w:sz w:val="32"/>
          <w:szCs w:val="32"/>
        </w:rPr>
        <w:lastRenderedPageBreak/>
        <w:t>体系，提高防灾减灾救灾和急难险重突发公共事件处置保障能力，牢牢守住安全发展底线。</w:t>
      </w:r>
    </w:p>
    <w:p w14:paraId="04781DAA"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捍卫政治安全。</w:t>
      </w:r>
      <w:r>
        <w:rPr>
          <w:rFonts w:ascii="宋体" w:eastAsia="方正仿宋简体" w:hAnsi="宋体" w:cs="方正仿宋简体" w:hint="eastAsia"/>
          <w:sz w:val="32"/>
          <w:szCs w:val="32"/>
        </w:rPr>
        <w:t>把维护国家政治安全特别是政权安全、制度安全放在首位，严格落实国家安全责任制，严密防范和严厉打击敌对势力渗透、破坏、颠覆、分裂活动，强化反间谍斗争和意识形态领域风险防控。深化反邪教斗争，依法严惩邪教组织违法活动。完善国家安全领导体制和工作机制，加强情报信息收集研判和风险防控能力建设，提高防范和抵御政治安全风险能力。聚焦新兴领域安全防控，加强新型网络攻击手段研判和防御能力建设，建立人工智能安全监管制度，健全生物安全风险防控和治理体系，加大低空违规飞行监管打击力度。完善国防动员体系和运行机制，加强军事设施保护、人民防空建设与后备力量提升，不断增强国防动员战略能力。深入开展国家安全宣传教育，增强全民国家安全意识，巩固筑牢国家安全人民防线。</w:t>
      </w:r>
    </w:p>
    <w:p w14:paraId="3D807E0A"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加强经济安全。</w:t>
      </w:r>
      <w:r>
        <w:rPr>
          <w:rFonts w:ascii="宋体" w:eastAsia="方正仿宋简体" w:hAnsi="宋体" w:cs="方正仿宋简体" w:hint="eastAsia"/>
          <w:sz w:val="32"/>
          <w:szCs w:val="32"/>
        </w:rPr>
        <w:t>加强经济安全风险预警、防控机制和能力建设，确保重要产业、基础设施、战略资源、重大科技等关键领域安全可控，确保粮食等重要农产品稳产保供。建立产业链供应链风险监测体系，常态化开展断链断供风险排查，重点强化钢铁产业链供应链安全保障，增强产业链供应链完整性和抗压韧性。维护水利、电力、供水、油气、交通、通信、网络等重要基础设施安全。加强价格总水平调控力度，做好重要民生商品保供稳价。</w:t>
      </w:r>
      <w:r>
        <w:rPr>
          <w:rFonts w:ascii="宋体" w:eastAsia="方正仿宋简体" w:hAnsi="宋体" w:cs="方正仿宋简体" w:hint="eastAsia"/>
          <w:sz w:val="32"/>
          <w:szCs w:val="32"/>
        </w:rPr>
        <w:lastRenderedPageBreak/>
        <w:t>严格防范化解债务风险，加强政府债务、隐性债务、城投债务“三债统管”，严格落实债务限额管理要求，持续优化债务期限与结构，稳妥有序化解存量债务，坚决遏制新增隐性债务，切实筑牢债务风险防控体系。统筹推进重点领域金融风险防范化解，健全金融风险监测预警和信息共享机制。全链条防范化解涉众非法金融风险，坚决守住不发生系统性、区域性金融风险的底线。</w:t>
      </w:r>
    </w:p>
    <w:p w14:paraId="6CA45715"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保障公共安全。</w:t>
      </w:r>
      <w:r>
        <w:rPr>
          <w:rFonts w:ascii="宋体" w:eastAsia="方正仿宋简体" w:hAnsi="宋体" w:cs="方正仿宋简体" w:hint="eastAsia"/>
          <w:sz w:val="32"/>
          <w:szCs w:val="32"/>
        </w:rPr>
        <w:t>健全公共安全体系，完善“党政同责、一岗双责、齐抓共管、失职追责”的安全生产责任体系。深入开展重点行业领域安全隐患排查整治，紧盯钢铁、危险化学品等高危行业强化安全监管，坚决防范较大及以上生产安全事故发生。到</w:t>
      </w:r>
      <w:r>
        <w:rPr>
          <w:rFonts w:ascii="宋体" w:eastAsia="方正仿宋简体" w:hAnsi="宋体" w:cs="方正仿宋简体" w:hint="eastAsia"/>
          <w:sz w:val="32"/>
          <w:szCs w:val="32"/>
        </w:rPr>
        <w:t>2030</w:t>
      </w:r>
      <w:r>
        <w:rPr>
          <w:rFonts w:ascii="宋体" w:eastAsia="方正仿宋简体" w:hAnsi="宋体" w:cs="方正仿宋简体" w:hint="eastAsia"/>
          <w:sz w:val="32"/>
          <w:szCs w:val="32"/>
        </w:rPr>
        <w:t>年，</w:t>
      </w:r>
      <w:bookmarkStart w:id="132" w:name="OLE_LINK15"/>
      <w:r>
        <w:rPr>
          <w:rFonts w:ascii="宋体" w:eastAsia="方正仿宋简体" w:hAnsi="宋体" w:cs="方正仿宋简体" w:hint="eastAsia"/>
          <w:sz w:val="32"/>
          <w:szCs w:val="32"/>
        </w:rPr>
        <w:t>百亿元</w:t>
      </w:r>
      <w:r>
        <w:rPr>
          <w:rFonts w:ascii="宋体" w:eastAsia="方正仿宋简体" w:hAnsi="宋体" w:cs="方正仿宋简体" w:hint="eastAsia"/>
          <w:sz w:val="32"/>
          <w:szCs w:val="32"/>
        </w:rPr>
        <w:t>GDP</w:t>
      </w:r>
      <w:r>
        <w:rPr>
          <w:rFonts w:ascii="宋体" w:eastAsia="方正仿宋简体" w:hAnsi="宋体" w:cs="方正仿宋简体" w:hint="eastAsia"/>
          <w:sz w:val="32"/>
          <w:szCs w:val="32"/>
        </w:rPr>
        <w:t>生产安全事故死亡率控制在</w:t>
      </w:r>
      <w:r>
        <w:rPr>
          <w:rFonts w:ascii="宋体" w:eastAsia="方正仿宋简体" w:hAnsi="宋体" w:cs="方正仿宋简体" w:hint="eastAsia"/>
          <w:sz w:val="32"/>
          <w:szCs w:val="32"/>
        </w:rPr>
        <w:t>0.6</w:t>
      </w:r>
      <w:r>
        <w:rPr>
          <w:rFonts w:ascii="宋体" w:eastAsia="方正仿宋简体" w:hAnsi="宋体" w:cs="方正仿宋简体" w:hint="eastAsia"/>
          <w:sz w:val="32"/>
          <w:szCs w:val="32"/>
        </w:rPr>
        <w:t>以内</w:t>
      </w:r>
      <w:bookmarkEnd w:id="132"/>
      <w:r>
        <w:rPr>
          <w:rFonts w:ascii="宋体" w:eastAsia="方正仿宋简体" w:hAnsi="宋体" w:cs="方正仿宋简体" w:hint="eastAsia"/>
          <w:sz w:val="32"/>
          <w:szCs w:val="32"/>
        </w:rPr>
        <w:t>。健全规范突发事件应急处置机制，强化应急救援队伍专业化建设和装备标准化配备，全面提升防灾减灾救灾综合能力。推进城市基础设施生命线安全工程、“平急两用”公共基础设施建设，加强临时安置、应急物资保障，提升平急转换使用能力。强化食品药品安全，健全溯源管理和全链条监管体系，保障人民群众饮食用药安全。加强公共卫生体系建设，完善重大疫情防控救治体系，提高早期监测预警和应急处置能力。推进韧性城市建设，提升城市基础设施安全运行水平，加强人员密集场所安全管理，切实保障人民群众生命财产安全。</w:t>
      </w:r>
    </w:p>
    <w:p w14:paraId="4A5D9938" w14:textId="77777777" w:rsidR="00080503" w:rsidRDefault="003A23BA">
      <w:pPr>
        <w:overflowPunct w:val="0"/>
        <w:spacing w:before="240" w:after="240" w:line="616" w:lineRule="exact"/>
        <w:jc w:val="center"/>
        <w:outlineLvl w:val="2"/>
        <w:rPr>
          <w:rFonts w:ascii="黑体" w:eastAsia="黑体" w:hAnsi="黑体" w:cs="方正仿宋简体"/>
          <w:sz w:val="32"/>
          <w:szCs w:val="32"/>
        </w:rPr>
      </w:pPr>
      <w:r>
        <w:rPr>
          <w:rFonts w:ascii="黑体" w:eastAsia="黑体" w:hAnsi="黑体" w:cs="方正仿宋简体" w:hint="eastAsia"/>
          <w:sz w:val="32"/>
          <w:szCs w:val="32"/>
        </w:rPr>
        <w:lastRenderedPageBreak/>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全面提升基层治理能力</w:t>
      </w:r>
    </w:p>
    <w:p w14:paraId="6B8932A1" w14:textId="77777777" w:rsidR="00080503" w:rsidRDefault="003A23BA">
      <w:pPr>
        <w:overflowPunct w:val="0"/>
        <w:spacing w:line="616" w:lineRule="exact"/>
        <w:ind w:firstLineChars="200" w:firstLine="640"/>
        <w:rPr>
          <w:rFonts w:ascii="宋体" w:eastAsia="方正仿宋简体" w:hAnsi="宋体" w:cs="方正仿宋简体"/>
          <w:sz w:val="32"/>
          <w:szCs w:val="32"/>
        </w:rPr>
      </w:pPr>
      <w:r>
        <w:rPr>
          <w:rFonts w:ascii="宋体" w:eastAsia="方正仿宋简体" w:hAnsi="宋体" w:cs="方正仿宋简体" w:hint="eastAsia"/>
          <w:sz w:val="32"/>
          <w:szCs w:val="32"/>
        </w:rPr>
        <w:t>坚持和发展新时代“枫桥经验”，推动社会治理重心向基层下移，健全城乡基层治理体系，构建人人有责、人人尽责、人人享有的社会治理共同体。</w:t>
      </w:r>
    </w:p>
    <w:p w14:paraId="345DB058"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构建多元共治格局。</w:t>
      </w:r>
      <w:r>
        <w:rPr>
          <w:rFonts w:ascii="宋体" w:eastAsia="方正仿宋简体" w:hAnsi="宋体" w:cs="方正仿宋简体" w:hint="eastAsia"/>
          <w:sz w:val="32"/>
          <w:szCs w:val="32"/>
        </w:rPr>
        <w:t>建立健全社区党组织领导下的社区居民委员会、小区业主委员会、物业服务企业协调运行机制，形成“四位一体”的社区治理结构。深化“街巷吹哨、部门报到”工作机制，完善“格呼网应”处置流程，推动治理重心和配套资源向街道、社区（村）下沉。加强网格化服务管理标准化建设，配齐配强专职网格员队伍，提升网格管理规范化精细化水平。建强用好“商量”、“共治”等协商议事平台，完善“民事民议、民事民办、民事民管”的基层协商制度。建立健全社会组织常态化参与社会事务、帮扶困难群体、协同风险防控的机制渠道，引导行业协会、商会等社会组织深度融入基层治理体系，拓宽志愿服务制度化、常态化渠道。</w:t>
      </w:r>
    </w:p>
    <w:p w14:paraId="0A018339"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r>
        <w:rPr>
          <w:rFonts w:ascii="宋体" w:eastAsia="方正楷体简体" w:hAnsi="宋体" w:cs="方正楷体简体" w:hint="eastAsia"/>
          <w:kern w:val="0"/>
          <w:sz w:val="32"/>
          <w:szCs w:val="36"/>
          <w:lang w:bidi="ar"/>
        </w:rPr>
        <w:t>加强社会矛盾化解处置。</w:t>
      </w:r>
      <w:r>
        <w:rPr>
          <w:rFonts w:ascii="宋体" w:eastAsia="方正仿宋简体" w:hAnsi="宋体" w:cs="方正仿宋简体" w:hint="eastAsia"/>
          <w:sz w:val="32"/>
          <w:szCs w:val="32"/>
        </w:rPr>
        <w:t>畅通和规范群众诉求表达渠道，建立健全“信、访、网、电、视频”五位一体的群众诉求受理平台。推动信访工作法治化，依法分类处理信访诉求，完善信访事项办理规程。健全人民调解、行政调解、司法调解联动工作机制，加强行业性专业性调解组织建设，培育品牌调解室和金牌调解员。</w:t>
      </w:r>
      <w:r>
        <w:rPr>
          <w:rFonts w:ascii="宋体" w:eastAsia="方正仿宋简体" w:hAnsi="宋体" w:cs="方正仿宋简体" w:hint="eastAsia"/>
          <w:sz w:val="32"/>
          <w:szCs w:val="32"/>
        </w:rPr>
        <w:lastRenderedPageBreak/>
        <w:t>全面推进综治中心规范化建设，完善矛盾纠纷排查预警机制，建立分级分类处置流程，努力将矛盾化解在基层、化解在萌芽状态。加强心理服务和危机干预，从源头上预防和减少社会矛盾。</w:t>
      </w:r>
    </w:p>
    <w:p w14:paraId="74130D01" w14:textId="77777777" w:rsidR="00080503" w:rsidRDefault="003A23BA">
      <w:pPr>
        <w:overflowPunct w:val="0"/>
        <w:spacing w:line="616" w:lineRule="exact"/>
        <w:ind w:firstLineChars="200" w:firstLine="640"/>
        <w:outlineLvl w:val="2"/>
        <w:rPr>
          <w:rFonts w:ascii="宋体" w:eastAsia="方正楷体简体" w:hAnsi="宋体" w:cs="方正楷体简体"/>
          <w:kern w:val="0"/>
          <w:sz w:val="32"/>
          <w:szCs w:val="36"/>
          <w:lang w:bidi="ar"/>
        </w:rPr>
      </w:pPr>
      <w:bookmarkStart w:id="133" w:name="OLE_LINK25"/>
      <w:r>
        <w:rPr>
          <w:rFonts w:ascii="宋体" w:eastAsia="方正楷体简体" w:hAnsi="宋体" w:cs="方正楷体简体" w:hint="eastAsia"/>
          <w:kern w:val="0"/>
          <w:sz w:val="32"/>
          <w:szCs w:val="36"/>
          <w:lang w:bidi="ar"/>
        </w:rPr>
        <w:t>深化平安钢城建设</w:t>
      </w:r>
      <w:bookmarkStart w:id="134" w:name="OLE_LINK10"/>
      <w:r>
        <w:rPr>
          <w:rFonts w:ascii="宋体" w:eastAsia="方正楷体简体" w:hAnsi="宋体" w:cs="方正楷体简体" w:hint="eastAsia"/>
          <w:kern w:val="0"/>
          <w:sz w:val="32"/>
          <w:szCs w:val="36"/>
          <w:lang w:bidi="ar"/>
        </w:rPr>
        <w:t>。</w:t>
      </w:r>
      <w:r>
        <w:rPr>
          <w:rFonts w:ascii="宋体" w:eastAsia="方正仿宋简体" w:hAnsi="宋体" w:cs="方正仿宋简体" w:hint="eastAsia"/>
          <w:sz w:val="32"/>
          <w:szCs w:val="32"/>
        </w:rPr>
        <w:t>健全社会稳定风险监测预警体系和专项整治常态化机制，加强社会治安综合治理，推进“雪亮工程”与“智慧安防”建设，注重专群结合、群防群治，创新开展“邻里守望”、“平安守护”行动。</w:t>
      </w:r>
      <w:bookmarkEnd w:id="134"/>
      <w:r>
        <w:rPr>
          <w:rFonts w:ascii="宋体" w:eastAsia="方正仿宋简体" w:hAnsi="宋体" w:cs="方正仿宋简体" w:hint="eastAsia"/>
          <w:sz w:val="32"/>
          <w:szCs w:val="32"/>
        </w:rPr>
        <w:t>常态化推进扫黑除恶斗争，深挖彻查“村霸”、“行霸”等黑恶势力，持续净化社会治安环境。依法严厉打击各类违法犯罪活动，发挥街面警务站、社区警务室等支点作用，重点整治突出治安问题和治安重点区域。强化特殊人群监督管理和教育帮扶，规范建设社区矫正中心，推动刑事执行严格依法规范。深入开展平安创建活动，加强居民安全宣传教育与培训，全面提升“平安钢城”建设水平，营造安全稳定和谐的社会环境。</w:t>
      </w:r>
      <w:bookmarkEnd w:id="133"/>
    </w:p>
    <w:p w14:paraId="7B8B6ACF"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sz w:val="32"/>
          <w:szCs w:val="32"/>
        </w:rPr>
        <w:br w:type="page"/>
      </w:r>
    </w:p>
    <w:p w14:paraId="5338A189" w14:textId="77777777" w:rsidR="00080503" w:rsidRDefault="00080503">
      <w:pPr>
        <w:overflowPunct w:val="0"/>
        <w:spacing w:line="616" w:lineRule="exact"/>
        <w:jc w:val="center"/>
        <w:outlineLvl w:val="2"/>
        <w:rPr>
          <w:rFonts w:ascii="方正小标宋简体" w:eastAsia="方正小标宋简体" w:hAnsi="宋体" w:cs="方正仿宋简体"/>
          <w:sz w:val="44"/>
          <w:szCs w:val="44"/>
        </w:rPr>
      </w:pPr>
    </w:p>
    <w:p w14:paraId="61C00C72" w14:textId="77777777" w:rsidR="00080503" w:rsidRDefault="003A23BA">
      <w:pPr>
        <w:overflowPunct w:val="0"/>
        <w:spacing w:line="616" w:lineRule="exact"/>
        <w:jc w:val="center"/>
        <w:outlineLvl w:val="2"/>
        <w:rPr>
          <w:rFonts w:ascii="方正小标宋简体" w:eastAsia="方正小标宋简体" w:hAnsi="宋体" w:cs="方正仿宋简体"/>
          <w:sz w:val="44"/>
          <w:szCs w:val="44"/>
        </w:rPr>
      </w:pPr>
      <w:r>
        <w:rPr>
          <w:rFonts w:ascii="方正小标宋简体" w:eastAsia="方正小标宋简体" w:hAnsi="宋体" w:cs="方正仿宋简体" w:hint="eastAsia"/>
          <w:sz w:val="44"/>
          <w:szCs w:val="44"/>
        </w:rPr>
        <w:t>第十三章  保障措施</w:t>
      </w:r>
    </w:p>
    <w:p w14:paraId="10A89360" w14:textId="77777777" w:rsidR="00080503" w:rsidRDefault="00080503">
      <w:pPr>
        <w:overflowPunct w:val="0"/>
        <w:spacing w:line="616" w:lineRule="exact"/>
        <w:ind w:firstLineChars="200" w:firstLine="640"/>
        <w:outlineLvl w:val="2"/>
        <w:rPr>
          <w:rFonts w:ascii="宋体" w:eastAsia="方正仿宋简体" w:hAnsi="宋体" w:cs="方正仿宋简体"/>
          <w:sz w:val="32"/>
          <w:szCs w:val="32"/>
        </w:rPr>
      </w:pPr>
    </w:p>
    <w:p w14:paraId="68A8B743"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坚持党的全面领导，深入践行人民城市理念，充分激发各类主体的积极性和创新活力，建立健全规划实施机制，全力以赴将宏伟蓝图转化为美好现实。</w:t>
      </w:r>
    </w:p>
    <w:p w14:paraId="0DB6E6E2" w14:textId="77777777" w:rsidR="00080503" w:rsidRDefault="003A23BA">
      <w:pPr>
        <w:overflowPunct w:val="0"/>
        <w:spacing w:before="240" w:after="240" w:line="616" w:lineRule="exact"/>
        <w:jc w:val="center"/>
        <w:outlineLvl w:val="2"/>
        <w:rPr>
          <w:rFonts w:ascii="黑体" w:eastAsia="黑体" w:hAnsi="黑体" w:cs="方正仿宋简体"/>
          <w:sz w:val="32"/>
          <w:szCs w:val="32"/>
        </w:rPr>
      </w:pPr>
      <w:r>
        <w:rPr>
          <w:rFonts w:ascii="黑体" w:eastAsia="黑体" w:hAnsi="黑体" w:cs="方正仿宋简体" w:hint="eastAsia"/>
          <w:sz w:val="32"/>
          <w:szCs w:val="32"/>
        </w:rPr>
        <w:t xml:space="preserve">第一节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加强党的全面领导</w:t>
      </w:r>
    </w:p>
    <w:p w14:paraId="485EDF08"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深入学习贯彻习近平新时代中国特色社会主义思想，增强“四个意识”、坚定“四个自信”、做到“两个维护”，不断提高政治判断力、政治领悟力、政治执行力，确保党中央决策部署及省、市工作安排在钢城不折不扣落地落实。持之以恒推进全面从严治党。落实党委研究经济社会发展战略、制定重大政策、推进任务落实的工作机制，建立重大事项集体决策和专家审议制度。</w:t>
      </w:r>
    </w:p>
    <w:p w14:paraId="43C682DB" w14:textId="77777777" w:rsidR="00080503" w:rsidRDefault="003A23BA">
      <w:pPr>
        <w:overflowPunct w:val="0"/>
        <w:spacing w:before="240" w:after="240" w:line="616" w:lineRule="exact"/>
        <w:jc w:val="center"/>
        <w:outlineLvl w:val="2"/>
        <w:rPr>
          <w:rFonts w:ascii="黑体" w:eastAsia="黑体" w:hAnsi="黑体" w:cs="黑体"/>
          <w:kern w:val="44"/>
          <w:sz w:val="32"/>
          <w:szCs w:val="48"/>
          <w:lang w:bidi="ar"/>
        </w:rPr>
      </w:pPr>
      <w:r>
        <w:rPr>
          <w:rFonts w:ascii="黑体" w:eastAsia="黑体" w:hAnsi="黑体" w:cs="黑体" w:hint="eastAsia"/>
          <w:kern w:val="44"/>
          <w:sz w:val="32"/>
          <w:szCs w:val="48"/>
          <w:lang w:bidi="ar"/>
        </w:rPr>
        <w:t xml:space="preserve">第二节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健全规划实施机制</w:t>
      </w:r>
    </w:p>
    <w:p w14:paraId="2F6A8BC0"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构建以发展规划为统领、国土空间规划为基础、专项规划为支撑，功能清晰、衔接协同的规划体系。建立健全规划编制目录清单、衔接审核、动态备案和评估监督等管理制度，各有关部门单位要依据规划要求，加快编制专项规划和实施方案；各街道（功</w:t>
      </w:r>
      <w:r>
        <w:rPr>
          <w:rFonts w:ascii="宋体" w:eastAsia="方正仿宋简体" w:hAnsi="宋体" w:cs="方正仿宋简体" w:hint="eastAsia"/>
          <w:sz w:val="32"/>
          <w:szCs w:val="32"/>
        </w:rPr>
        <w:lastRenderedPageBreak/>
        <w:t>能区）要全面落实本规划提出的目标任务，协同推进实施中遇到的难点问题。加强宏观政策统筹，增强政策协调性和实效性。</w:t>
      </w:r>
    </w:p>
    <w:p w14:paraId="41ADD3FC" w14:textId="77777777" w:rsidR="00080503" w:rsidRDefault="003A23BA">
      <w:pPr>
        <w:overflowPunct w:val="0"/>
        <w:spacing w:before="240" w:after="240" w:line="616" w:lineRule="exact"/>
        <w:jc w:val="center"/>
        <w:outlineLvl w:val="2"/>
        <w:rPr>
          <w:rFonts w:ascii="黑体" w:eastAsia="黑体" w:hAnsi="黑体" w:cs="方正仿宋简体"/>
          <w:sz w:val="32"/>
          <w:szCs w:val="32"/>
        </w:rPr>
      </w:pPr>
      <w:r>
        <w:rPr>
          <w:rFonts w:ascii="黑体" w:eastAsia="黑体" w:hAnsi="黑体" w:cs="方正仿宋简体" w:hint="eastAsia"/>
          <w:sz w:val="32"/>
          <w:szCs w:val="32"/>
        </w:rPr>
        <w:t xml:space="preserve">第三节 </w:t>
      </w:r>
      <w:r>
        <w:rPr>
          <w:rFonts w:ascii="黑体" w:eastAsia="黑体" w:hAnsi="黑体" w:cs="方正仿宋简体"/>
          <w:sz w:val="32"/>
          <w:szCs w:val="32"/>
        </w:rPr>
        <w:t xml:space="preserve"> </w:t>
      </w:r>
      <w:r>
        <w:rPr>
          <w:rFonts w:ascii="黑体" w:eastAsia="黑体" w:hAnsi="黑体" w:cs="黑体" w:hint="eastAsia"/>
          <w:kern w:val="44"/>
          <w:sz w:val="32"/>
          <w:szCs w:val="48"/>
          <w:lang w:bidi="ar"/>
        </w:rPr>
        <w:t>强化政策支撑保障</w:t>
      </w:r>
    </w:p>
    <w:p w14:paraId="58D229E1"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增强规划的指导性和约束力，发挥中长期规划对重大生产力布局和项目安排的引领作用。强化信用、标准、能耗、排放、价格等市场化机制引导，对纳入本规划的重大工程项目，优先保障土地、能耗指标、环境容量和资金需求，推动重大平台、重大政策和重点任务有效落地。加强财政资源与发展规划衔接，区级财政资金优先用于保障规划明确的重大战略任务和工程项目。推动金融、就业、产业、投资、消费、区域等各类公共政策与发展规划协同发力，实现政策目标统一、联动高效。</w:t>
      </w:r>
    </w:p>
    <w:p w14:paraId="1FB6F154" w14:textId="77777777" w:rsidR="00080503" w:rsidRDefault="003A23BA">
      <w:pPr>
        <w:overflowPunct w:val="0"/>
        <w:spacing w:before="240" w:after="240" w:line="616" w:lineRule="exact"/>
        <w:jc w:val="center"/>
        <w:outlineLvl w:val="2"/>
        <w:rPr>
          <w:rFonts w:ascii="黑体" w:eastAsia="黑体" w:hAnsi="黑体" w:cs="黑体"/>
          <w:kern w:val="44"/>
          <w:sz w:val="32"/>
          <w:szCs w:val="48"/>
          <w:lang w:bidi="ar"/>
        </w:rPr>
      </w:pPr>
      <w:r>
        <w:rPr>
          <w:rFonts w:ascii="黑体" w:eastAsia="黑体" w:hAnsi="黑体" w:cs="黑体" w:hint="eastAsia"/>
          <w:kern w:val="44"/>
          <w:sz w:val="32"/>
          <w:szCs w:val="48"/>
          <w:lang w:bidi="ar"/>
        </w:rPr>
        <w:t xml:space="preserve">第四节 </w:t>
      </w:r>
      <w:r>
        <w:rPr>
          <w:rFonts w:ascii="黑体" w:eastAsia="黑体" w:hAnsi="黑体" w:cs="黑体"/>
          <w:kern w:val="44"/>
          <w:sz w:val="32"/>
          <w:szCs w:val="48"/>
          <w:lang w:bidi="ar"/>
        </w:rPr>
        <w:t xml:space="preserve"> </w:t>
      </w:r>
      <w:r>
        <w:rPr>
          <w:rFonts w:ascii="黑体" w:eastAsia="黑体" w:hAnsi="黑体" w:cs="黑体" w:hint="eastAsia"/>
          <w:kern w:val="44"/>
          <w:sz w:val="32"/>
          <w:szCs w:val="48"/>
          <w:lang w:bidi="ar"/>
        </w:rPr>
        <w:t>动员人民广泛参与</w:t>
      </w:r>
    </w:p>
    <w:p w14:paraId="0D765AE1" w14:textId="77777777" w:rsidR="00080503" w:rsidRDefault="003A23BA">
      <w:pPr>
        <w:overflowPunct w:val="0"/>
        <w:spacing w:line="616" w:lineRule="exact"/>
        <w:ind w:firstLineChars="200" w:firstLine="640"/>
        <w:outlineLvl w:val="2"/>
        <w:rPr>
          <w:rFonts w:ascii="宋体" w:eastAsia="方正仿宋简体" w:hAnsi="宋体" w:cs="方正仿宋简体"/>
          <w:sz w:val="32"/>
          <w:szCs w:val="32"/>
        </w:rPr>
      </w:pPr>
      <w:r>
        <w:rPr>
          <w:rFonts w:ascii="宋体" w:eastAsia="方正仿宋简体" w:hAnsi="宋体" w:cs="方正仿宋简体" w:hint="eastAsia"/>
          <w:sz w:val="32"/>
          <w:szCs w:val="32"/>
        </w:rPr>
        <w:t>践行以人民为中心的发展思想，充分调动社会各界积极性，集思广益、凝聚共识，鼓励全区人民群众参与钢城区“十五五”规划制定与实施，共同探索符合区情的发展路径。通过多种渠道广泛宣传规划的思路、目标和重点任务，推进规划信息公开，加强实施进展和成效的宣传推广，提升规划制定与执行的透明度和公众参与度。</w:t>
      </w:r>
    </w:p>
    <w:p w14:paraId="7975C094" w14:textId="4952BF28" w:rsidR="0063367A" w:rsidRDefault="0063367A" w:rsidP="0063367A">
      <w:pPr>
        <w:spacing w:line="100" w:lineRule="exact"/>
        <w:rPr>
          <w:rFonts w:ascii="宋体" w:eastAsia="文星仿宋" w:hAnsi="宋体" w:cs="新宋体"/>
          <w:szCs w:val="32"/>
        </w:rPr>
      </w:pPr>
    </w:p>
    <w:p w14:paraId="067C37ED" w14:textId="77777777" w:rsidR="0063367A" w:rsidRDefault="0063367A" w:rsidP="0063367A">
      <w:pPr>
        <w:spacing w:line="100" w:lineRule="exact"/>
        <w:rPr>
          <w:rFonts w:ascii="宋体" w:eastAsia="文星仿宋" w:hAnsi="宋体" w:cs="新宋体" w:hint="eastAsia"/>
          <w:szCs w:val="32"/>
        </w:rPr>
      </w:pPr>
    </w:p>
    <w:p w14:paraId="3569DACA" w14:textId="77777777" w:rsidR="0063367A" w:rsidRDefault="0063367A" w:rsidP="0063367A">
      <w:pPr>
        <w:spacing w:line="100" w:lineRule="exact"/>
        <w:rPr>
          <w:rFonts w:ascii="宋体" w:eastAsia="文星仿宋" w:hAnsi="宋体" w:cs="新宋体"/>
          <w:szCs w:val="32"/>
        </w:rPr>
      </w:pPr>
    </w:p>
    <w:p w14:paraId="38FB35F3" w14:textId="77777777" w:rsidR="0063367A" w:rsidRDefault="0063367A" w:rsidP="0063367A">
      <w:pPr>
        <w:spacing w:line="100" w:lineRule="exact"/>
        <w:rPr>
          <w:rFonts w:ascii="宋体" w:eastAsia="文星仿宋" w:hAnsi="宋体" w:cs="新宋体"/>
          <w:szCs w:val="32"/>
        </w:rPr>
      </w:pPr>
    </w:p>
    <w:p w14:paraId="5CFA3D89" w14:textId="076F543D" w:rsidR="00080503" w:rsidRPr="0063367A" w:rsidRDefault="0063367A" w:rsidP="0063367A">
      <w:pPr>
        <w:overflowPunct w:val="0"/>
        <w:spacing w:line="616" w:lineRule="exact"/>
        <w:jc w:val="center"/>
        <w:rPr>
          <w:rFonts w:ascii="宋体" w:hAnsi="宋体" w:hint="eastAsia"/>
          <w:sz w:val="32"/>
          <w:szCs w:val="32"/>
        </w:rPr>
      </w:pPr>
      <w:r>
        <w:rPr>
          <w:rFonts w:ascii="宋体" w:eastAsia="宋体" w:hAnsi="宋体" w:cs="Times New Roman"/>
          <w:noProof/>
          <w:sz w:val="32"/>
          <w:szCs w:val="32"/>
        </w:rPr>
        <mc:AlternateContent>
          <mc:Choice Requires="wps">
            <w:drawing>
              <wp:anchor distT="0" distB="0" distL="114300" distR="114300" simplePos="0" relativeHeight="251663360" behindDoc="0" locked="0" layoutInCell="1" allowOverlap="1" wp14:anchorId="17DA4DD1" wp14:editId="2CE806A5">
                <wp:simplePos x="0" y="0"/>
                <wp:positionH relativeFrom="column">
                  <wp:posOffset>-3810</wp:posOffset>
                </wp:positionH>
                <wp:positionV relativeFrom="paragraph">
                  <wp:posOffset>438150</wp:posOffset>
                </wp:positionV>
                <wp:extent cx="5687695" cy="0"/>
                <wp:effectExtent l="0" t="9525" r="8255" b="9525"/>
                <wp:wrapNone/>
                <wp:docPr id="3" name="自选图形 2"/>
                <wp:cNvGraphicFramePr/>
                <a:graphic xmlns:a="http://schemas.openxmlformats.org/drawingml/2006/main">
                  <a:graphicData uri="http://schemas.microsoft.com/office/word/2010/wordprocessingShape">
                    <wps:wsp>
                      <wps:cNvCnPr/>
                      <wps:spPr>
                        <a:xfrm>
                          <a:off x="0" y="0"/>
                          <a:ext cx="5687695"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type w14:anchorId="0DDDCC25" id="_x0000_t32" coordsize="21600,21600" o:spt="32" o:oned="t" path="m,l21600,21600e" filled="f">
                <v:path arrowok="t" fillok="f" o:connecttype="none"/>
                <o:lock v:ext="edit" shapetype="t"/>
              </v:shapetype>
              <v:shape id="自选图形 2" o:spid="_x0000_s1026" type="#_x0000_t32" style="position:absolute;left:0;text-align:left;margin-left:-.3pt;margin-top:34.5pt;width:447.8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" strokeweight="1.5pt"/>
            </w:pict>
          </mc:Fallback>
        </mc:AlternateContent>
      </w:r>
      <w:r>
        <w:rPr>
          <w:rFonts w:ascii="宋体" w:eastAsia="宋体" w:hAnsi="宋体" w:cs="Times New Roman"/>
          <w:noProof/>
          <w:sz w:val="32"/>
          <w:szCs w:val="32"/>
        </w:rPr>
        <mc:AlternateContent>
          <mc:Choice Requires="wps">
            <w:drawing>
              <wp:anchor distT="0" distB="0" distL="114300" distR="114300" simplePos="0" relativeHeight="251662336" behindDoc="0" locked="0" layoutInCell="1" allowOverlap="1" wp14:anchorId="5C53B8DD" wp14:editId="12E7D6B9">
                <wp:simplePos x="0" y="0"/>
                <wp:positionH relativeFrom="column">
                  <wp:posOffset>-3810</wp:posOffset>
                </wp:positionH>
                <wp:positionV relativeFrom="paragraph">
                  <wp:posOffset>38100</wp:posOffset>
                </wp:positionV>
                <wp:extent cx="5687695" cy="0"/>
                <wp:effectExtent l="0" t="9525" r="8255" b="9525"/>
                <wp:wrapNone/>
                <wp:docPr id="4" name="自选图形 3"/>
                <wp:cNvGraphicFramePr/>
                <a:graphic xmlns:a="http://schemas.openxmlformats.org/drawingml/2006/main">
                  <a:graphicData uri="http://schemas.microsoft.com/office/word/2010/wordprocessingShape">
                    <wps:wsp>
                      <wps:cNvCnPr/>
                      <wps:spPr>
                        <a:xfrm>
                          <a:off x="0" y="0"/>
                          <a:ext cx="5687695" cy="0"/>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w14:anchorId="125A0FA0" id="自选图形 3" o:spid="_x0000_s1026" type="#_x0000_t32" style="position:absolute;left:0;text-align:left;margin-left:-.3pt;margin-top:3pt;width:447.8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" strokeweight="1.5pt"/>
            </w:pict>
          </mc:Fallback>
        </mc:AlternateContent>
      </w:r>
      <w:r>
        <w:rPr>
          <w:rStyle w:val="txt1"/>
          <w:rFonts w:eastAsia="方正仿宋简体" w:cs="文星仿宋" w:hint="default"/>
          <w:sz w:val="32"/>
          <w:szCs w:val="32"/>
          <w:lang w:bidi="ar"/>
        </w:rPr>
        <w:t>济南市钢城区人民政府办公室</w:t>
      </w:r>
      <w:r>
        <w:rPr>
          <w:rStyle w:val="txt1"/>
          <w:rFonts w:eastAsia="方正仿宋简体" w:cs="新宋体" w:hint="default"/>
          <w:sz w:val="32"/>
          <w:szCs w:val="32"/>
          <w:lang w:bidi="ar"/>
        </w:rPr>
        <w:t xml:space="preserve">       2026</w:t>
      </w:r>
      <w:r>
        <w:rPr>
          <w:rStyle w:val="txt1"/>
          <w:rFonts w:eastAsia="方正仿宋简体" w:cs="文星仿宋" w:hint="default"/>
          <w:sz w:val="32"/>
          <w:szCs w:val="32"/>
          <w:lang w:bidi="ar"/>
        </w:rPr>
        <w:t>年</w:t>
      </w:r>
      <w:r>
        <w:rPr>
          <w:rStyle w:val="txt1"/>
          <w:rFonts w:eastAsia="方正仿宋简体" w:cs="新宋体" w:hint="default"/>
          <w:sz w:val="32"/>
          <w:szCs w:val="32"/>
          <w:lang w:bidi="ar"/>
        </w:rPr>
        <w:t>6</w:t>
      </w:r>
      <w:r>
        <w:rPr>
          <w:rStyle w:val="txt1"/>
          <w:rFonts w:eastAsia="方正仿宋简体" w:cs="文星仿宋" w:hint="default"/>
          <w:sz w:val="32"/>
          <w:szCs w:val="32"/>
          <w:lang w:bidi="ar"/>
        </w:rPr>
        <w:t>月</w:t>
      </w:r>
      <w:r>
        <w:rPr>
          <w:rStyle w:val="txt1"/>
          <w:rFonts w:eastAsia="方正仿宋简体" w:cs="文星仿宋" w:hint="default"/>
          <w:sz w:val="32"/>
          <w:szCs w:val="32"/>
          <w:lang w:bidi="ar"/>
        </w:rPr>
        <w:t>1</w:t>
      </w:r>
      <w:r>
        <w:rPr>
          <w:rStyle w:val="txt1"/>
          <w:rFonts w:eastAsia="方正仿宋简体" w:cs="文星仿宋" w:hint="default"/>
          <w:sz w:val="32"/>
          <w:szCs w:val="32"/>
          <w:lang w:bidi="ar"/>
        </w:rPr>
        <w:t>7</w:t>
      </w:r>
      <w:r>
        <w:rPr>
          <w:rStyle w:val="txt1"/>
          <w:rFonts w:eastAsia="方正仿宋简体" w:cs="文星仿宋" w:hint="default"/>
          <w:sz w:val="32"/>
          <w:szCs w:val="32"/>
          <w:lang w:bidi="ar"/>
        </w:rPr>
        <w:t>日印发</w:t>
      </w:r>
    </w:p>
    <w:sectPr w:rsidR="00080503" w:rsidRPr="0063367A">
      <w:footerReference w:type="default" r:id="rId6"/>
      <w:pgSz w:w="11906" w:h="16838"/>
      <w:pgMar w:top="1985" w:right="1474" w:bottom="1701" w:left="1474" w:header="851" w:footer="14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74090" w14:textId="77777777" w:rsidR="001147F5" w:rsidRDefault="001147F5">
      <w:r>
        <w:separator/>
      </w:r>
    </w:p>
  </w:endnote>
  <w:endnote w:type="continuationSeparator" w:id="0">
    <w:p w14:paraId="7021F8AB" w14:textId="77777777" w:rsidR="001147F5" w:rsidRDefault="0011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文星仿宋">
    <w:panose1 w:val="0201060900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文星简小标宋">
    <w:charset w:val="86"/>
    <w:family w:val="modern"/>
    <w:pitch w:val="default"/>
  </w:font>
  <w:font w:name="微软雅黑">
    <w:panose1 w:val="020B0503020204020204"/>
    <w:charset w:val="86"/>
    <w:family w:val="swiss"/>
    <w:pitch w:val="variable"/>
    <w:sig w:usb0="80000287" w:usb1="2ACF3C50" w:usb2="00000016" w:usb3="00000000" w:csb0="0004001F" w:csb1="00000000"/>
  </w:font>
  <w:font w:name="方正楷体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Fonts w:asciiTheme="minorEastAsia" w:hAnsiTheme="minorEastAsia" w:hint="eastAsia"/>
        <w:sz w:val="28"/>
        <w:szCs w:val="28"/>
      </w:rPr>
      <w:id w:val="-1859811170"/>
    </w:sdtPr>
    <w:sdtContent>
      <w:p w14:paraId="753F69E2" w14:textId="7F8FD50E" w:rsidR="003A23BA" w:rsidRDefault="003A23BA">
        <w:pPr>
          <w:pStyle w:val="a9"/>
          <w:framePr w:wrap="around" w:vAnchor="text" w:hAnchor="margin" w:xAlign="outside" w:y="1"/>
          <w:rPr>
            <w:rStyle w:val="af"/>
            <w:rFonts w:asciiTheme="minorEastAsia" w:hAnsiTheme="minorEastAsia"/>
            <w:sz w:val="28"/>
            <w:szCs w:val="28"/>
          </w:rPr>
        </w:pPr>
        <w:r>
          <w:rPr>
            <w:rStyle w:val="af"/>
            <w:rFonts w:ascii="宋体" w:eastAsia="宋体" w:hAnsi="宋体" w:hint="eastAsia"/>
            <w:sz w:val="28"/>
            <w:szCs w:val="28"/>
          </w:rPr>
          <w:t xml:space="preserve">— </w:t>
        </w:r>
        <w:r>
          <w:rPr>
            <w:rStyle w:val="af"/>
            <w:rFonts w:ascii="宋体" w:eastAsia="宋体" w:hAnsi="宋体"/>
            <w:sz w:val="28"/>
            <w:szCs w:val="28"/>
          </w:rPr>
          <w:fldChar w:fldCharType="begin"/>
        </w:r>
        <w:r>
          <w:rPr>
            <w:rStyle w:val="af"/>
            <w:rFonts w:ascii="宋体" w:eastAsia="宋体" w:hAnsi="宋体"/>
            <w:sz w:val="28"/>
            <w:szCs w:val="28"/>
          </w:rPr>
          <w:instrText xml:space="preserve"> PAGE </w:instrText>
        </w:r>
        <w:r>
          <w:rPr>
            <w:rStyle w:val="af"/>
            <w:rFonts w:ascii="宋体" w:eastAsia="宋体" w:hAnsi="宋体"/>
            <w:sz w:val="28"/>
            <w:szCs w:val="28"/>
          </w:rPr>
          <w:fldChar w:fldCharType="separate"/>
        </w:r>
        <w:r w:rsidR="0063367A">
          <w:rPr>
            <w:rStyle w:val="af"/>
            <w:rFonts w:ascii="宋体" w:eastAsia="宋体" w:hAnsi="宋体"/>
            <w:noProof/>
            <w:sz w:val="28"/>
            <w:szCs w:val="28"/>
          </w:rPr>
          <w:t>20</w:t>
        </w:r>
        <w:r>
          <w:rPr>
            <w:rStyle w:val="af"/>
            <w:rFonts w:ascii="宋体" w:eastAsia="宋体" w:hAnsi="宋体"/>
            <w:sz w:val="28"/>
            <w:szCs w:val="28"/>
          </w:rPr>
          <w:fldChar w:fldCharType="end"/>
        </w:r>
        <w:r>
          <w:rPr>
            <w:rStyle w:val="af"/>
            <w:rFonts w:ascii="宋体" w:eastAsia="宋体" w:hAnsi="宋体"/>
            <w:sz w:val="28"/>
            <w:szCs w:val="28"/>
          </w:rPr>
          <w:t xml:space="preserve"> </w:t>
        </w:r>
        <w:r>
          <w:rPr>
            <w:rStyle w:val="af"/>
            <w:rFonts w:ascii="宋体" w:eastAsia="宋体" w:hAnsi="宋体" w:hint="eastAsia"/>
            <w:sz w:val="28"/>
            <w:szCs w:val="28"/>
          </w:rPr>
          <w:t>—</w:t>
        </w:r>
      </w:p>
    </w:sdtContent>
  </w:sdt>
  <w:p w14:paraId="31FE8DB6" w14:textId="77777777" w:rsidR="003A23BA" w:rsidRDefault="003A23B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9A960" w14:textId="77777777" w:rsidR="001147F5" w:rsidRDefault="001147F5">
      <w:r>
        <w:separator/>
      </w:r>
    </w:p>
  </w:footnote>
  <w:footnote w:type="continuationSeparator" w:id="0">
    <w:p w14:paraId="1CC2A12D" w14:textId="77777777" w:rsidR="001147F5" w:rsidRDefault="001147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E2D"/>
    <w:rsid w:val="00007591"/>
    <w:rsid w:val="00010C5E"/>
    <w:rsid w:val="00026C4C"/>
    <w:rsid w:val="000728CF"/>
    <w:rsid w:val="00080503"/>
    <w:rsid w:val="000A7B57"/>
    <w:rsid w:val="001147F5"/>
    <w:rsid w:val="00145039"/>
    <w:rsid w:val="0015260E"/>
    <w:rsid w:val="00155002"/>
    <w:rsid w:val="00162616"/>
    <w:rsid w:val="0017736C"/>
    <w:rsid w:val="001802F8"/>
    <w:rsid w:val="001C405F"/>
    <w:rsid w:val="00223592"/>
    <w:rsid w:val="0028479A"/>
    <w:rsid w:val="00286313"/>
    <w:rsid w:val="002A0622"/>
    <w:rsid w:val="00317D76"/>
    <w:rsid w:val="00324D9F"/>
    <w:rsid w:val="00363F46"/>
    <w:rsid w:val="003A23BA"/>
    <w:rsid w:val="003A4CF9"/>
    <w:rsid w:val="003C400E"/>
    <w:rsid w:val="00407B94"/>
    <w:rsid w:val="0042292B"/>
    <w:rsid w:val="004D42F1"/>
    <w:rsid w:val="00506A2C"/>
    <w:rsid w:val="005112A9"/>
    <w:rsid w:val="00515380"/>
    <w:rsid w:val="00554A9E"/>
    <w:rsid w:val="00573477"/>
    <w:rsid w:val="005824C0"/>
    <w:rsid w:val="0058262D"/>
    <w:rsid w:val="00597F98"/>
    <w:rsid w:val="005A185F"/>
    <w:rsid w:val="005A2E95"/>
    <w:rsid w:val="005B1710"/>
    <w:rsid w:val="005E2F86"/>
    <w:rsid w:val="005F5830"/>
    <w:rsid w:val="0060514B"/>
    <w:rsid w:val="0063367A"/>
    <w:rsid w:val="00641E30"/>
    <w:rsid w:val="00666AAE"/>
    <w:rsid w:val="006F10A4"/>
    <w:rsid w:val="006F553D"/>
    <w:rsid w:val="00700F24"/>
    <w:rsid w:val="00725A16"/>
    <w:rsid w:val="00726559"/>
    <w:rsid w:val="00770CC3"/>
    <w:rsid w:val="007A5371"/>
    <w:rsid w:val="008239F9"/>
    <w:rsid w:val="00833267"/>
    <w:rsid w:val="00856D20"/>
    <w:rsid w:val="00862BEB"/>
    <w:rsid w:val="00863E2D"/>
    <w:rsid w:val="0088147F"/>
    <w:rsid w:val="008A353C"/>
    <w:rsid w:val="008D1064"/>
    <w:rsid w:val="008F3D66"/>
    <w:rsid w:val="008F3E3B"/>
    <w:rsid w:val="009B0C66"/>
    <w:rsid w:val="009E3491"/>
    <w:rsid w:val="00A11A1D"/>
    <w:rsid w:val="00A4486D"/>
    <w:rsid w:val="00A712D5"/>
    <w:rsid w:val="00AB5CF6"/>
    <w:rsid w:val="00AE4C84"/>
    <w:rsid w:val="00B7031D"/>
    <w:rsid w:val="00B93BFF"/>
    <w:rsid w:val="00BA3834"/>
    <w:rsid w:val="00BB7760"/>
    <w:rsid w:val="00BC24BF"/>
    <w:rsid w:val="00C46334"/>
    <w:rsid w:val="00CC4965"/>
    <w:rsid w:val="00CC51E8"/>
    <w:rsid w:val="00D221B8"/>
    <w:rsid w:val="00D31670"/>
    <w:rsid w:val="00D5700A"/>
    <w:rsid w:val="00D8696C"/>
    <w:rsid w:val="00DB4401"/>
    <w:rsid w:val="00DD20D0"/>
    <w:rsid w:val="00DF640E"/>
    <w:rsid w:val="00E169F9"/>
    <w:rsid w:val="00EA6558"/>
    <w:rsid w:val="00EC2867"/>
    <w:rsid w:val="00F302C2"/>
    <w:rsid w:val="00FA3BF8"/>
    <w:rsid w:val="00FA5EF6"/>
    <w:rsid w:val="00FC19EF"/>
    <w:rsid w:val="00FD3450"/>
    <w:rsid w:val="03321D76"/>
    <w:rsid w:val="09C11BC8"/>
    <w:rsid w:val="0BBA59F6"/>
    <w:rsid w:val="0CA535B9"/>
    <w:rsid w:val="0FC14BAE"/>
    <w:rsid w:val="115E1B75"/>
    <w:rsid w:val="13197CD1"/>
    <w:rsid w:val="177443DB"/>
    <w:rsid w:val="1D724FC4"/>
    <w:rsid w:val="1FD55B8C"/>
    <w:rsid w:val="25366A7A"/>
    <w:rsid w:val="2674607E"/>
    <w:rsid w:val="2D8017AD"/>
    <w:rsid w:val="319C3023"/>
    <w:rsid w:val="39932516"/>
    <w:rsid w:val="3DE825E1"/>
    <w:rsid w:val="3E57579A"/>
    <w:rsid w:val="42DF08CC"/>
    <w:rsid w:val="45486BFC"/>
    <w:rsid w:val="454A1874"/>
    <w:rsid w:val="45B33B9B"/>
    <w:rsid w:val="45BB1BD0"/>
    <w:rsid w:val="45F801BC"/>
    <w:rsid w:val="4ACD3AC6"/>
    <w:rsid w:val="4D9549A9"/>
    <w:rsid w:val="4E873CA6"/>
    <w:rsid w:val="504925C9"/>
    <w:rsid w:val="50E46C80"/>
    <w:rsid w:val="5B042454"/>
    <w:rsid w:val="5BD90156"/>
    <w:rsid w:val="62B60F1F"/>
    <w:rsid w:val="69695723"/>
    <w:rsid w:val="6F174DC6"/>
    <w:rsid w:val="6F5A4F08"/>
    <w:rsid w:val="6F6872BA"/>
    <w:rsid w:val="71930ACC"/>
    <w:rsid w:val="72C41F74"/>
    <w:rsid w:val="73811C6B"/>
    <w:rsid w:val="739C1D3D"/>
    <w:rsid w:val="75FB3847"/>
    <w:rsid w:val="7F6D458E"/>
    <w:rsid w:val="7F806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D191"/>
  <w15:docId w15:val="{982BD322-6122-4742-909D-37371B4A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after="120"/>
    </w:pPr>
  </w:style>
  <w:style w:type="paragraph" w:styleId="a5">
    <w:name w:val="Plain Text"/>
    <w:basedOn w:val="a"/>
    <w:link w:val="a6"/>
    <w:uiPriority w:val="99"/>
    <w:qFormat/>
    <w:rPr>
      <w:rFonts w:ascii="宋体" w:eastAsia="宋体" w:hAnsi="Courier New" w:cs="Times New Roman"/>
      <w:szCs w:val="21"/>
    </w:rPr>
  </w:style>
  <w:style w:type="paragraph" w:styleId="a7">
    <w:name w:val="Balloon Text"/>
    <w:basedOn w:val="a"/>
    <w:link w:val="a8"/>
    <w:uiPriority w:val="99"/>
    <w:semiHidden/>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page number"/>
    <w:basedOn w:val="a0"/>
    <w:autoRedefine/>
    <w:qFormat/>
  </w:style>
  <w:style w:type="character" w:customStyle="1" w:styleId="a4">
    <w:name w:val="正文文本 字符"/>
    <w:basedOn w:val="a0"/>
    <w:link w:val="a3"/>
    <w:qFormat/>
    <w:rPr>
      <w:szCs w:val="24"/>
    </w:rPr>
  </w:style>
  <w:style w:type="character" w:customStyle="1" w:styleId="a6">
    <w:name w:val="纯文本 字符"/>
    <w:basedOn w:val="a0"/>
    <w:link w:val="a5"/>
    <w:uiPriority w:val="99"/>
    <w:qFormat/>
    <w:rPr>
      <w:rFonts w:ascii="宋体" w:eastAsia="宋体" w:hAnsi="Courier New" w:cs="Times New Roman"/>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txt1">
    <w:name w:val="txt1"/>
    <w:basedOn w:val="a0"/>
    <w:rsid w:val="0063367A"/>
    <w:rPr>
      <w:rFonts w:ascii="宋体" w:eastAsia="宋体" w:hAnsi="宋体" w:cs="宋体" w:hint="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96</Pages>
  <Words>7234</Words>
  <Characters>41237</Characters>
  <Application>Microsoft Office Word</Application>
  <DocSecurity>0</DocSecurity>
  <Lines>343</Lines>
  <Paragraphs>96</Paragraphs>
  <ScaleCrop>false</ScaleCrop>
  <Company/>
  <LinksUpToDate>false</LinksUpToDate>
  <CharactersWithSpaces>48375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28</cp:revision>
  <cp:lastPrinted>2026-06-24T08:49:00Z</cp:lastPrinted>
  <dcterms:created xsi:type="dcterms:W3CDTF">2026-06-02T01:51:00Z</dcterms:created>
  <dcterms:modified xsi:type="dcterms:W3CDTF">2026-06-24T08:59:00Z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eyJoZGlkIjoiMWJkMTI0YWQ4ZmZjMmUzZmMwYmYyYThmZjk1NzVmMjQiLCJ1c2VySWQiOiI2NDc0MTkxNTUifQ==</vt:lpwstr>
  </property>
  <property fmtid="{D5CDD505-2E9C-101B-9397-08002B2CF9AE}" pid="3" name="KSOProductBuildVer">
    <vt:lpwstr>2052-12.1.0.26895</vt:lpwstr>
  </property>
  <property fmtid="{D5CDD505-2E9C-101B-9397-08002B2CF9AE}" pid="4" name="ICV">
    <vt:lpwstr>98E3EF0BF1D640E9898A0887ECE256FA_13</vt:lpwstr>
  </property>
</Properties>
</file>