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101CA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预算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项目支出绩效自评表</w:t>
      </w:r>
    </w:p>
    <w:p w14:paraId="1EE2631C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（202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年度）</w:t>
      </w:r>
    </w:p>
    <w:p w14:paraId="1D1375B0">
      <w:pPr>
        <w:jc w:val="right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单位:万元</w:t>
      </w:r>
    </w:p>
    <w:tbl>
      <w:tblPr>
        <w:tblStyle w:val="2"/>
        <w:tblW w:w="107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900"/>
        <w:gridCol w:w="1636"/>
        <w:gridCol w:w="1605"/>
        <w:gridCol w:w="1163"/>
        <w:gridCol w:w="1418"/>
        <w:gridCol w:w="873"/>
        <w:gridCol w:w="927"/>
        <w:gridCol w:w="1913"/>
      </w:tblGrid>
      <w:tr w14:paraId="70A57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3003423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项目名称</w:t>
            </w:r>
          </w:p>
        </w:tc>
        <w:tc>
          <w:tcPr>
            <w:tcW w:w="9535" w:type="dxa"/>
            <w:gridSpan w:val="7"/>
            <w:noWrap w:val="0"/>
            <w:vAlign w:val="center"/>
          </w:tcPr>
          <w:p w14:paraId="78B3BE7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市级福彩公益金支持养老服务体系建设项目</w:t>
            </w:r>
          </w:p>
        </w:tc>
      </w:tr>
      <w:tr w14:paraId="109A5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325462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主管部门</w:t>
            </w: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9981B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济南市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钢城区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民政局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D9C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实施单位</w:t>
            </w:r>
          </w:p>
        </w:tc>
        <w:tc>
          <w:tcPr>
            <w:tcW w:w="37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F2DB4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济南市钢城区民政局</w:t>
            </w:r>
          </w:p>
        </w:tc>
      </w:tr>
      <w:tr w14:paraId="7A667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380B523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7FC3BC1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项目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预算</w:t>
            </w:r>
          </w:p>
          <w:p w14:paraId="35B903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执行情况</w:t>
            </w:r>
          </w:p>
          <w:p w14:paraId="3327AA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636" w:type="dxa"/>
            <w:noWrap w:val="0"/>
            <w:vAlign w:val="center"/>
          </w:tcPr>
          <w:p w14:paraId="4A76D0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6B92A9D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年初预算数</w:t>
            </w:r>
          </w:p>
        </w:tc>
        <w:tc>
          <w:tcPr>
            <w:tcW w:w="1163" w:type="dxa"/>
            <w:tcBorders>
              <w:right w:val="single" w:color="auto" w:sz="4" w:space="0"/>
            </w:tcBorders>
            <w:noWrap w:val="0"/>
            <w:vAlign w:val="center"/>
          </w:tcPr>
          <w:p w14:paraId="16AEF3C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全年预算数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E4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9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全年执行数</w:t>
            </w:r>
          </w:p>
        </w:tc>
        <w:tc>
          <w:tcPr>
            <w:tcW w:w="873" w:type="dxa"/>
            <w:tcBorders>
              <w:left w:val="single" w:color="auto" w:sz="4" w:space="0"/>
            </w:tcBorders>
            <w:noWrap w:val="0"/>
            <w:vAlign w:val="center"/>
          </w:tcPr>
          <w:p w14:paraId="0AB38A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927" w:type="dxa"/>
            <w:noWrap w:val="0"/>
            <w:vAlign w:val="center"/>
          </w:tcPr>
          <w:p w14:paraId="48A455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执行率</w:t>
            </w:r>
          </w:p>
        </w:tc>
        <w:tc>
          <w:tcPr>
            <w:tcW w:w="1913" w:type="dxa"/>
            <w:noWrap w:val="0"/>
            <w:vAlign w:val="center"/>
          </w:tcPr>
          <w:p w14:paraId="48D2CF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得分</w:t>
            </w:r>
          </w:p>
        </w:tc>
      </w:tr>
      <w:tr w14:paraId="1F848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4944D8F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1A3526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年度资金总额</w:t>
            </w:r>
          </w:p>
        </w:tc>
        <w:tc>
          <w:tcPr>
            <w:tcW w:w="1605" w:type="dxa"/>
            <w:noWrap w:val="0"/>
            <w:vAlign w:val="center"/>
          </w:tcPr>
          <w:p w14:paraId="63D57C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63" w:type="dxa"/>
            <w:noWrap w:val="0"/>
            <w:vAlign w:val="center"/>
          </w:tcPr>
          <w:p w14:paraId="09ABB4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1121.09</w:t>
            </w:r>
          </w:p>
        </w:tc>
        <w:tc>
          <w:tcPr>
            <w:tcW w:w="1418" w:type="dxa"/>
            <w:noWrap w:val="0"/>
            <w:vAlign w:val="center"/>
          </w:tcPr>
          <w:p w14:paraId="0FC5C7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873" w:type="dxa"/>
            <w:noWrap w:val="0"/>
            <w:vAlign w:val="center"/>
          </w:tcPr>
          <w:p w14:paraId="220C71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13C0CB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0%</w:t>
            </w:r>
          </w:p>
        </w:tc>
        <w:tc>
          <w:tcPr>
            <w:tcW w:w="1913" w:type="dxa"/>
            <w:noWrap w:val="0"/>
            <w:vAlign w:val="center"/>
          </w:tcPr>
          <w:p w14:paraId="66C283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</w:t>
            </w:r>
          </w:p>
        </w:tc>
      </w:tr>
      <w:tr w14:paraId="1A111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606B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754EE67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1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其中：当年财政拨款</w:t>
            </w:r>
          </w:p>
        </w:tc>
        <w:tc>
          <w:tcPr>
            <w:tcW w:w="1605" w:type="dxa"/>
            <w:noWrap w:val="0"/>
            <w:vAlign w:val="center"/>
          </w:tcPr>
          <w:p w14:paraId="5810A1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63" w:type="dxa"/>
            <w:noWrap w:val="0"/>
            <w:vAlign w:val="center"/>
          </w:tcPr>
          <w:p w14:paraId="3C5B19E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418" w:type="dxa"/>
            <w:noWrap w:val="0"/>
            <w:vAlign w:val="center"/>
          </w:tcPr>
          <w:p w14:paraId="7FD115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873" w:type="dxa"/>
            <w:noWrap w:val="0"/>
            <w:vAlign w:val="center"/>
          </w:tcPr>
          <w:p w14:paraId="43C13B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C3FBF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 w14:paraId="7E5AC4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057C6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5876B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532899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上年结转资金</w:t>
            </w:r>
          </w:p>
        </w:tc>
        <w:tc>
          <w:tcPr>
            <w:tcW w:w="1605" w:type="dxa"/>
            <w:noWrap w:val="0"/>
            <w:vAlign w:val="center"/>
          </w:tcPr>
          <w:p w14:paraId="6DB3AD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163" w:type="dxa"/>
            <w:noWrap w:val="0"/>
            <w:vAlign w:val="center"/>
          </w:tcPr>
          <w:p w14:paraId="3E4504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709.91</w:t>
            </w:r>
          </w:p>
        </w:tc>
        <w:tc>
          <w:tcPr>
            <w:tcW w:w="1418" w:type="dxa"/>
            <w:noWrap w:val="0"/>
            <w:vAlign w:val="center"/>
          </w:tcPr>
          <w:p w14:paraId="22F3D5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873" w:type="dxa"/>
            <w:noWrap w:val="0"/>
            <w:vAlign w:val="center"/>
          </w:tcPr>
          <w:p w14:paraId="102562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2571C4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 w14:paraId="0F7952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78FC7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65F8E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4E70CE1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其他资金</w:t>
            </w:r>
          </w:p>
        </w:tc>
        <w:tc>
          <w:tcPr>
            <w:tcW w:w="1605" w:type="dxa"/>
            <w:noWrap w:val="0"/>
            <w:vAlign w:val="center"/>
          </w:tcPr>
          <w:p w14:paraId="01E00B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1163" w:type="dxa"/>
            <w:tcBorders>
              <w:right w:val="single" w:color="auto" w:sz="4" w:space="0"/>
            </w:tcBorders>
            <w:noWrap w:val="0"/>
            <w:vAlign w:val="center"/>
          </w:tcPr>
          <w:p w14:paraId="348A3E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411.18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 w14:paraId="660F93F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873" w:type="dxa"/>
            <w:noWrap w:val="0"/>
            <w:vAlign w:val="center"/>
          </w:tcPr>
          <w:p w14:paraId="223BE28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5D656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 w14:paraId="0353048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46509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127EF3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年度总体目标</w:t>
            </w: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4E385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年初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预期目标</w:t>
            </w:r>
          </w:p>
        </w:tc>
        <w:tc>
          <w:tcPr>
            <w:tcW w:w="513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861D6B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目标实际完成情况</w:t>
            </w:r>
          </w:p>
        </w:tc>
      </w:tr>
      <w:tr w14:paraId="10E45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229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1EF6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CFA0578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对符合条件的街道综合养老服务中心、日间照料中心及农村幸福院发放建设补助资金，支持养老服务业持续发展。</w:t>
            </w:r>
          </w:p>
        </w:tc>
        <w:tc>
          <w:tcPr>
            <w:tcW w:w="513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32E97F7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主要用于2025年度养老服务市级奖补资金发放，分别为248家养老服务设施发放运营补助资金，为养老机构、家庭养老床位和居家养老服务单位发放运营及建设资金。</w:t>
            </w:r>
          </w:p>
        </w:tc>
      </w:tr>
      <w:tr w14:paraId="76BDC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329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694E9641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09097B48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2A402503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23EC5361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19E52029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FDAC8CD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D375A33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7336DD7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1C941D37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年度绩效指标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A19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一级指标</w:t>
            </w:r>
          </w:p>
        </w:tc>
        <w:tc>
          <w:tcPr>
            <w:tcW w:w="1636" w:type="dxa"/>
            <w:noWrap w:val="0"/>
            <w:vAlign w:val="center"/>
          </w:tcPr>
          <w:p w14:paraId="1F6D1E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二级指标</w:t>
            </w:r>
          </w:p>
        </w:tc>
        <w:tc>
          <w:tcPr>
            <w:tcW w:w="1605" w:type="dxa"/>
            <w:noWrap w:val="0"/>
            <w:vAlign w:val="center"/>
          </w:tcPr>
          <w:p w14:paraId="50E43B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三级指标</w:t>
            </w:r>
          </w:p>
        </w:tc>
        <w:tc>
          <w:tcPr>
            <w:tcW w:w="1163" w:type="dxa"/>
            <w:noWrap w:val="0"/>
            <w:vAlign w:val="center"/>
          </w:tcPr>
          <w:p w14:paraId="61098F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年度目标值</w:t>
            </w:r>
          </w:p>
        </w:tc>
        <w:tc>
          <w:tcPr>
            <w:tcW w:w="1418" w:type="dxa"/>
            <w:noWrap w:val="0"/>
            <w:vAlign w:val="center"/>
          </w:tcPr>
          <w:p w14:paraId="7AC98A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实际完成指标值</w:t>
            </w:r>
          </w:p>
        </w:tc>
        <w:tc>
          <w:tcPr>
            <w:tcW w:w="873" w:type="dxa"/>
            <w:noWrap w:val="0"/>
            <w:vAlign w:val="center"/>
          </w:tcPr>
          <w:p w14:paraId="726734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927" w:type="dxa"/>
            <w:noWrap w:val="0"/>
            <w:vAlign w:val="center"/>
          </w:tcPr>
          <w:p w14:paraId="1F2954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得分</w:t>
            </w:r>
          </w:p>
        </w:tc>
        <w:tc>
          <w:tcPr>
            <w:tcW w:w="1913" w:type="dxa"/>
            <w:noWrap w:val="0"/>
            <w:vAlign w:val="center"/>
          </w:tcPr>
          <w:p w14:paraId="5776D7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偏差原因分析及改进措施</w:t>
            </w:r>
          </w:p>
        </w:tc>
      </w:tr>
      <w:tr w14:paraId="67A07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DD01ACE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0291F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成本指标</w:t>
            </w:r>
          </w:p>
          <w:p w14:paraId="7923C8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（10分）</w:t>
            </w:r>
          </w:p>
        </w:tc>
        <w:tc>
          <w:tcPr>
            <w:tcW w:w="1636" w:type="dxa"/>
            <w:noWrap w:val="0"/>
            <w:vAlign w:val="center"/>
          </w:tcPr>
          <w:p w14:paraId="1B46FC4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经济成本指标</w:t>
            </w:r>
          </w:p>
        </w:tc>
        <w:tc>
          <w:tcPr>
            <w:tcW w:w="1605" w:type="dxa"/>
            <w:noWrap w:val="0"/>
            <w:vAlign w:val="center"/>
          </w:tcPr>
          <w:p w14:paraId="4F240FA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项目总成本</w:t>
            </w:r>
          </w:p>
        </w:tc>
        <w:tc>
          <w:tcPr>
            <w:tcW w:w="1163" w:type="dxa"/>
            <w:noWrap w:val="0"/>
            <w:vAlign w:val="center"/>
          </w:tcPr>
          <w:p w14:paraId="71D5C31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≤1121.09万元</w:t>
            </w:r>
          </w:p>
        </w:tc>
        <w:tc>
          <w:tcPr>
            <w:tcW w:w="1418" w:type="dxa"/>
            <w:noWrap w:val="0"/>
            <w:vAlign w:val="center"/>
          </w:tcPr>
          <w:p w14:paraId="5F34E80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0万元</w:t>
            </w:r>
          </w:p>
        </w:tc>
        <w:tc>
          <w:tcPr>
            <w:tcW w:w="873" w:type="dxa"/>
            <w:noWrap w:val="0"/>
            <w:vAlign w:val="center"/>
          </w:tcPr>
          <w:p w14:paraId="2FC10D2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27E4809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913" w:type="dxa"/>
            <w:noWrap w:val="0"/>
            <w:vAlign w:val="center"/>
          </w:tcPr>
          <w:p w14:paraId="255F96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200" w:lineRule="atLeast"/>
              <w:ind w:right="51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该资金本年度未支出，我局将积极协调财政部门完成项目资金的拨付。</w:t>
            </w:r>
          </w:p>
        </w:tc>
      </w:tr>
      <w:tr w14:paraId="3026C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47D1C6B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681A6E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产出指标</w:t>
            </w:r>
          </w:p>
          <w:p w14:paraId="1A154AA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yellow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（50分）</w:t>
            </w:r>
          </w:p>
        </w:tc>
        <w:tc>
          <w:tcPr>
            <w:tcW w:w="1636" w:type="dxa"/>
            <w:vMerge w:val="restart"/>
            <w:noWrap w:val="0"/>
            <w:vAlign w:val="center"/>
          </w:tcPr>
          <w:p w14:paraId="68A7C46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noWrap w:val="0"/>
            <w:vAlign w:val="center"/>
          </w:tcPr>
          <w:p w14:paraId="7C0FE40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养老服务设施运营补助数量</w:t>
            </w:r>
          </w:p>
        </w:tc>
        <w:tc>
          <w:tcPr>
            <w:tcW w:w="1163" w:type="dxa"/>
            <w:tcBorders>
              <w:bottom w:val="single" w:color="auto" w:sz="4" w:space="0"/>
            </w:tcBorders>
            <w:noWrap w:val="0"/>
            <w:vAlign w:val="center"/>
          </w:tcPr>
          <w:p w14:paraId="7B99445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≥200家</w:t>
            </w:r>
          </w:p>
        </w:tc>
        <w:tc>
          <w:tcPr>
            <w:tcW w:w="1418" w:type="dxa"/>
            <w:noWrap w:val="0"/>
            <w:vAlign w:val="center"/>
          </w:tcPr>
          <w:p w14:paraId="1FC198D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248家</w:t>
            </w:r>
          </w:p>
        </w:tc>
        <w:tc>
          <w:tcPr>
            <w:tcW w:w="873" w:type="dxa"/>
            <w:noWrap w:val="0"/>
            <w:vAlign w:val="center"/>
          </w:tcPr>
          <w:p w14:paraId="0C130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51B35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0C1A640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eastAsia="zh-CN"/>
              </w:rPr>
            </w:pPr>
          </w:p>
        </w:tc>
      </w:tr>
      <w:tr w14:paraId="70B95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821DECE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F2FDB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74318E7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highlight w:val="none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noWrap w:val="0"/>
            <w:vAlign w:val="center"/>
          </w:tcPr>
          <w:p w14:paraId="36B2138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left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家庭养老床位建设补助数量</w:t>
            </w:r>
          </w:p>
        </w:tc>
        <w:tc>
          <w:tcPr>
            <w:tcW w:w="1163" w:type="dxa"/>
            <w:tcBorders>
              <w:bottom w:val="single" w:color="auto" w:sz="4" w:space="0"/>
            </w:tcBorders>
            <w:noWrap w:val="0"/>
            <w:vAlign w:val="center"/>
          </w:tcPr>
          <w:p w14:paraId="72D92DB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≥80张</w:t>
            </w:r>
          </w:p>
        </w:tc>
        <w:tc>
          <w:tcPr>
            <w:tcW w:w="1418" w:type="dxa"/>
            <w:noWrap w:val="0"/>
            <w:vAlign w:val="center"/>
          </w:tcPr>
          <w:p w14:paraId="3B6FE9A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88张</w:t>
            </w:r>
          </w:p>
        </w:tc>
        <w:tc>
          <w:tcPr>
            <w:tcW w:w="873" w:type="dxa"/>
            <w:noWrap w:val="0"/>
            <w:vAlign w:val="center"/>
          </w:tcPr>
          <w:p w14:paraId="56ADB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5CDC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2AF9987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eastAsia="zh-CN"/>
              </w:rPr>
            </w:pPr>
          </w:p>
        </w:tc>
      </w:tr>
      <w:tr w14:paraId="3F94E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3E55B37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60BF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color="auto" w:sz="4" w:space="0"/>
            </w:tcBorders>
            <w:noWrap w:val="0"/>
            <w:vAlign w:val="center"/>
          </w:tcPr>
          <w:p w14:paraId="72CCF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质量指标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noWrap w:val="0"/>
            <w:vAlign w:val="center"/>
          </w:tcPr>
          <w:p w14:paraId="53037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  <w:p w14:paraId="7D257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项目应补尽补率</w:t>
            </w:r>
          </w:p>
          <w:p w14:paraId="1037A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5EED1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7041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3C4CA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5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927" w:type="dxa"/>
            <w:noWrap w:val="0"/>
            <w:vAlign w:val="center"/>
          </w:tcPr>
          <w:p w14:paraId="621D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913" w:type="dxa"/>
            <w:noWrap w:val="0"/>
            <w:vAlign w:val="center"/>
          </w:tcPr>
          <w:p w14:paraId="7039251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47484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F5B7CC6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CFA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color="auto" w:sz="4" w:space="0"/>
            </w:tcBorders>
            <w:noWrap w:val="0"/>
            <w:vAlign w:val="center"/>
          </w:tcPr>
          <w:p w14:paraId="0B482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时效指标</w:t>
            </w:r>
          </w:p>
        </w:tc>
        <w:tc>
          <w:tcPr>
            <w:tcW w:w="1605" w:type="dxa"/>
            <w:tcBorders>
              <w:top w:val="single" w:color="auto" w:sz="4" w:space="0"/>
            </w:tcBorders>
            <w:noWrap w:val="0"/>
            <w:vAlign w:val="center"/>
          </w:tcPr>
          <w:p w14:paraId="277B80F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1163" w:type="dxa"/>
            <w:noWrap w:val="0"/>
            <w:vAlign w:val="center"/>
          </w:tcPr>
          <w:p w14:paraId="3E30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779E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19D9E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5EB9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5C1CE0A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4FF2A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C36FFD4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5594E5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效益指标</w:t>
            </w:r>
          </w:p>
          <w:p w14:paraId="4B939FB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30分</w:t>
            </w: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）</w:t>
            </w:r>
          </w:p>
          <w:p w14:paraId="2C94B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86027D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  <w:p w14:paraId="084F768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社会效益指标</w:t>
            </w:r>
          </w:p>
          <w:p w14:paraId="7F08652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22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noWrap w:val="0"/>
            <w:vAlign w:val="center"/>
          </w:tcPr>
          <w:p w14:paraId="069B35E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养老服务设施覆盖率</w:t>
            </w:r>
          </w:p>
        </w:tc>
        <w:tc>
          <w:tcPr>
            <w:tcW w:w="1163" w:type="dxa"/>
            <w:tcBorders>
              <w:bottom w:val="single" w:color="auto" w:sz="4" w:space="0"/>
            </w:tcBorders>
            <w:noWrap w:val="0"/>
            <w:vAlign w:val="center"/>
          </w:tcPr>
          <w:p w14:paraId="260E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418" w:type="dxa"/>
            <w:noWrap w:val="0"/>
            <w:vAlign w:val="center"/>
          </w:tcPr>
          <w:p w14:paraId="37B1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873" w:type="dxa"/>
            <w:noWrap w:val="0"/>
            <w:vAlign w:val="center"/>
          </w:tcPr>
          <w:p w14:paraId="25E7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0E34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6D1FEE9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6D137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EEFBF97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1662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09CF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F668D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养老服务便利性和专业性</w:t>
            </w:r>
          </w:p>
        </w:tc>
        <w:tc>
          <w:tcPr>
            <w:tcW w:w="1163" w:type="dxa"/>
            <w:tcBorders>
              <w:top w:val="single" w:color="auto" w:sz="4" w:space="0"/>
            </w:tcBorders>
            <w:noWrap w:val="0"/>
            <w:vAlign w:val="center"/>
          </w:tcPr>
          <w:p w14:paraId="6FB6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增强</w:t>
            </w:r>
          </w:p>
        </w:tc>
        <w:tc>
          <w:tcPr>
            <w:tcW w:w="1418" w:type="dxa"/>
            <w:noWrap w:val="0"/>
            <w:vAlign w:val="center"/>
          </w:tcPr>
          <w:p w14:paraId="301F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增强</w:t>
            </w:r>
          </w:p>
        </w:tc>
        <w:tc>
          <w:tcPr>
            <w:tcW w:w="873" w:type="dxa"/>
            <w:noWrap w:val="0"/>
            <w:vAlign w:val="center"/>
          </w:tcPr>
          <w:p w14:paraId="2AB71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236A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59630F1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0758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D4455ED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EF7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1F8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可持续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影响指标</w:t>
            </w:r>
          </w:p>
        </w:tc>
        <w:tc>
          <w:tcPr>
            <w:tcW w:w="1605" w:type="dxa"/>
            <w:tcBorders>
              <w:top w:val="single" w:color="auto" w:sz="4" w:space="0"/>
            </w:tcBorders>
            <w:noWrap w:val="0"/>
            <w:vAlign w:val="center"/>
          </w:tcPr>
          <w:p w14:paraId="0B98FBA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养老体系发展长效保障机制健全性</w:t>
            </w:r>
          </w:p>
        </w:tc>
        <w:tc>
          <w:tcPr>
            <w:tcW w:w="1163" w:type="dxa"/>
            <w:noWrap w:val="0"/>
            <w:vAlign w:val="center"/>
          </w:tcPr>
          <w:p w14:paraId="1AC8F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健全</w:t>
            </w:r>
          </w:p>
        </w:tc>
        <w:tc>
          <w:tcPr>
            <w:tcW w:w="1418" w:type="dxa"/>
            <w:noWrap w:val="0"/>
            <w:vAlign w:val="center"/>
          </w:tcPr>
          <w:p w14:paraId="2696D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进一步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健全</w:t>
            </w:r>
          </w:p>
        </w:tc>
        <w:tc>
          <w:tcPr>
            <w:tcW w:w="873" w:type="dxa"/>
            <w:noWrap w:val="0"/>
            <w:vAlign w:val="center"/>
          </w:tcPr>
          <w:p w14:paraId="3D384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4F5FB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913" w:type="dxa"/>
            <w:noWrap w:val="0"/>
            <w:vAlign w:val="center"/>
          </w:tcPr>
          <w:p w14:paraId="3898FB7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问题原因：养老服务体系建设制度还需要在实践中进一步健全完善。</w:t>
            </w:r>
          </w:p>
          <w:p w14:paraId="11ED8C3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措施：下一步我局将着力完善政策体系，增强服务供给，提高服务力度。</w:t>
            </w:r>
          </w:p>
        </w:tc>
      </w:tr>
      <w:tr w14:paraId="174D8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F286FE0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C4A3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满意度指标</w:t>
            </w:r>
          </w:p>
          <w:p w14:paraId="4FF66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6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34F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40" w:lineRule="atLeast"/>
              <w:ind w:left="441" w:right="22" w:hanging="404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受益满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意度指标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noWrap w:val="0"/>
            <w:vAlign w:val="center"/>
          </w:tcPr>
          <w:p w14:paraId="44EC51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1163" w:type="dxa"/>
            <w:noWrap w:val="0"/>
            <w:vAlign w:val="center"/>
          </w:tcPr>
          <w:p w14:paraId="171CE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418" w:type="dxa"/>
            <w:noWrap w:val="0"/>
            <w:vAlign w:val="center"/>
          </w:tcPr>
          <w:p w14:paraId="0C658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</w:p>
        </w:tc>
        <w:tc>
          <w:tcPr>
            <w:tcW w:w="873" w:type="dxa"/>
            <w:noWrap w:val="0"/>
            <w:vAlign w:val="center"/>
          </w:tcPr>
          <w:p w14:paraId="04E51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927" w:type="dxa"/>
            <w:noWrap w:val="0"/>
            <w:vAlign w:val="center"/>
          </w:tcPr>
          <w:p w14:paraId="1A24F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dxa"/>
            <w:noWrap w:val="0"/>
            <w:vAlign w:val="center"/>
          </w:tcPr>
          <w:p w14:paraId="37E67E1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1FC6F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8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23A98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  <w:t>总分</w:t>
            </w:r>
          </w:p>
        </w:tc>
        <w:tc>
          <w:tcPr>
            <w:tcW w:w="7899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E2813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79</w:t>
            </w:r>
          </w:p>
        </w:tc>
      </w:tr>
    </w:tbl>
    <w:p w14:paraId="7A7CCFD1"/>
    <w:p w14:paraId="7B1EF7EC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</w:pPr>
    </w:p>
    <w:p w14:paraId="18976E69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  <w:highlight w:val="yellow"/>
          <w:lang w:eastAsia="zh-CN"/>
        </w:rPr>
      </w:pPr>
    </w:p>
    <w:p w14:paraId="02346D8A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lang w:eastAsia="zh-CN"/>
        </w:rPr>
        <w:t>预算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</w:rPr>
        <w:t>项目支出绩效自评表</w:t>
      </w:r>
    </w:p>
    <w:p w14:paraId="4D2953AE">
      <w:pPr>
        <w:jc w:val="center"/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</w:rPr>
        <w:t>（202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</w:rPr>
        <w:t>年度）</w:t>
      </w:r>
    </w:p>
    <w:p w14:paraId="4CF355E2">
      <w:pPr>
        <w:jc w:val="right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单位:万元</w:t>
      </w:r>
    </w:p>
    <w:tbl>
      <w:tblPr>
        <w:tblStyle w:val="2"/>
        <w:tblW w:w="107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900"/>
        <w:gridCol w:w="1636"/>
        <w:gridCol w:w="1503"/>
        <w:gridCol w:w="1265"/>
        <w:gridCol w:w="1418"/>
        <w:gridCol w:w="873"/>
        <w:gridCol w:w="833"/>
        <w:gridCol w:w="2033"/>
      </w:tblGrid>
      <w:tr w14:paraId="27F6A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577BF1A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项目名称</w:t>
            </w:r>
          </w:p>
        </w:tc>
        <w:tc>
          <w:tcPr>
            <w:tcW w:w="9561" w:type="dxa"/>
            <w:gridSpan w:val="7"/>
            <w:noWrap w:val="0"/>
            <w:vAlign w:val="center"/>
          </w:tcPr>
          <w:p w14:paraId="6BE691D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市级福彩公益金支持事实无人抚养儿童助学项目</w:t>
            </w:r>
          </w:p>
        </w:tc>
      </w:tr>
      <w:tr w14:paraId="6969A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488AC0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主管部门</w:t>
            </w: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0197C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济南市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钢城区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民政局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AF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实施单位</w:t>
            </w:r>
          </w:p>
        </w:tc>
        <w:tc>
          <w:tcPr>
            <w:tcW w:w="373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36E48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济南市钢城区民政局</w:t>
            </w:r>
          </w:p>
        </w:tc>
      </w:tr>
      <w:tr w14:paraId="25137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12215F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6C104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项目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预算</w:t>
            </w:r>
          </w:p>
          <w:p w14:paraId="475A33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eastAsia="zh-CN"/>
              </w:rPr>
              <w:t>执行情况</w:t>
            </w:r>
          </w:p>
          <w:p w14:paraId="502702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636" w:type="dxa"/>
            <w:noWrap w:val="0"/>
            <w:vAlign w:val="center"/>
          </w:tcPr>
          <w:p w14:paraId="2D4119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03" w:type="dxa"/>
            <w:noWrap w:val="0"/>
            <w:vAlign w:val="center"/>
          </w:tcPr>
          <w:p w14:paraId="7C5470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3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年初预算数</w:t>
            </w:r>
          </w:p>
        </w:tc>
        <w:tc>
          <w:tcPr>
            <w:tcW w:w="1265" w:type="dxa"/>
            <w:tcBorders>
              <w:right w:val="single" w:color="auto" w:sz="4" w:space="0"/>
            </w:tcBorders>
            <w:noWrap w:val="0"/>
            <w:vAlign w:val="center"/>
          </w:tcPr>
          <w:p w14:paraId="4F4789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全年预算数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40BD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9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全年执行数</w:t>
            </w:r>
          </w:p>
        </w:tc>
        <w:tc>
          <w:tcPr>
            <w:tcW w:w="873" w:type="dxa"/>
            <w:tcBorders>
              <w:left w:val="single" w:color="auto" w:sz="4" w:space="0"/>
            </w:tcBorders>
            <w:noWrap w:val="0"/>
            <w:vAlign w:val="center"/>
          </w:tcPr>
          <w:p w14:paraId="704088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833" w:type="dxa"/>
            <w:noWrap w:val="0"/>
            <w:vAlign w:val="center"/>
          </w:tcPr>
          <w:p w14:paraId="047840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执行率</w:t>
            </w:r>
          </w:p>
        </w:tc>
        <w:tc>
          <w:tcPr>
            <w:tcW w:w="2033" w:type="dxa"/>
            <w:noWrap w:val="0"/>
            <w:vAlign w:val="center"/>
          </w:tcPr>
          <w:p w14:paraId="2F4556E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得分</w:t>
            </w:r>
          </w:p>
        </w:tc>
      </w:tr>
      <w:tr w14:paraId="44D9B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1B7A7C8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7E9184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年度资金总额</w:t>
            </w:r>
          </w:p>
        </w:tc>
        <w:tc>
          <w:tcPr>
            <w:tcW w:w="1503" w:type="dxa"/>
            <w:noWrap w:val="0"/>
            <w:vAlign w:val="center"/>
          </w:tcPr>
          <w:p w14:paraId="37C09E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265" w:type="dxa"/>
            <w:noWrap w:val="0"/>
            <w:vAlign w:val="center"/>
          </w:tcPr>
          <w:p w14:paraId="52CE1A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18.25</w:t>
            </w:r>
          </w:p>
        </w:tc>
        <w:tc>
          <w:tcPr>
            <w:tcW w:w="1418" w:type="dxa"/>
            <w:noWrap w:val="0"/>
            <w:vAlign w:val="center"/>
          </w:tcPr>
          <w:p w14:paraId="4E08EA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3.75</w:t>
            </w:r>
          </w:p>
        </w:tc>
        <w:tc>
          <w:tcPr>
            <w:tcW w:w="873" w:type="dxa"/>
            <w:noWrap w:val="0"/>
            <w:vAlign w:val="center"/>
          </w:tcPr>
          <w:p w14:paraId="11050E7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7738D59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21%</w:t>
            </w:r>
          </w:p>
        </w:tc>
        <w:tc>
          <w:tcPr>
            <w:tcW w:w="2033" w:type="dxa"/>
            <w:noWrap w:val="0"/>
            <w:vAlign w:val="center"/>
          </w:tcPr>
          <w:p w14:paraId="2DE13C9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2.1</w:t>
            </w:r>
          </w:p>
        </w:tc>
      </w:tr>
      <w:tr w14:paraId="61D2F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3632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2C68A0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1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其中：当年财政拨款</w:t>
            </w:r>
          </w:p>
        </w:tc>
        <w:tc>
          <w:tcPr>
            <w:tcW w:w="1503" w:type="dxa"/>
            <w:noWrap w:val="0"/>
            <w:vAlign w:val="center"/>
          </w:tcPr>
          <w:p w14:paraId="5BAB9F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265" w:type="dxa"/>
            <w:noWrap w:val="0"/>
            <w:vAlign w:val="center"/>
          </w:tcPr>
          <w:p w14:paraId="7C5C8E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1418" w:type="dxa"/>
            <w:noWrap w:val="0"/>
            <w:vAlign w:val="center"/>
          </w:tcPr>
          <w:p w14:paraId="019218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873" w:type="dxa"/>
            <w:noWrap w:val="0"/>
            <w:vAlign w:val="center"/>
          </w:tcPr>
          <w:p w14:paraId="1E3675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833" w:type="dxa"/>
            <w:noWrap w:val="0"/>
            <w:vAlign w:val="center"/>
          </w:tcPr>
          <w:p w14:paraId="4FDDBC5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0C2D1C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</w:tr>
      <w:tr w14:paraId="1448C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251EB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126B32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上年结转资金</w:t>
            </w:r>
          </w:p>
        </w:tc>
        <w:tc>
          <w:tcPr>
            <w:tcW w:w="1503" w:type="dxa"/>
            <w:noWrap w:val="0"/>
            <w:vAlign w:val="center"/>
          </w:tcPr>
          <w:p w14:paraId="690D68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0.00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2AF72E2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5.25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 w14:paraId="3ED946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3.75</w:t>
            </w:r>
          </w:p>
        </w:tc>
        <w:tc>
          <w:tcPr>
            <w:tcW w:w="873" w:type="dxa"/>
            <w:noWrap w:val="0"/>
            <w:vAlign w:val="center"/>
          </w:tcPr>
          <w:p w14:paraId="536EB47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833" w:type="dxa"/>
            <w:noWrap w:val="0"/>
            <w:vAlign w:val="center"/>
          </w:tcPr>
          <w:p w14:paraId="14830D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3168FA9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</w:tr>
      <w:tr w14:paraId="43202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401C7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5937E68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right="8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其他资金</w:t>
            </w:r>
          </w:p>
        </w:tc>
        <w:tc>
          <w:tcPr>
            <w:tcW w:w="1503" w:type="dxa"/>
            <w:noWrap w:val="0"/>
            <w:vAlign w:val="center"/>
          </w:tcPr>
          <w:p w14:paraId="08EAC59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1265" w:type="dxa"/>
            <w:tcBorders>
              <w:right w:val="single" w:color="auto" w:sz="4" w:space="0"/>
            </w:tcBorders>
            <w:noWrap w:val="0"/>
            <w:vAlign w:val="center"/>
          </w:tcPr>
          <w:p w14:paraId="19F03B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13.00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 w14:paraId="05AF64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  <w:lang w:val="en-US" w:eastAsia="zh-CN"/>
              </w:rPr>
              <w:t>.00</w:t>
            </w:r>
          </w:p>
        </w:tc>
        <w:tc>
          <w:tcPr>
            <w:tcW w:w="873" w:type="dxa"/>
            <w:noWrap w:val="0"/>
            <w:vAlign w:val="center"/>
          </w:tcPr>
          <w:p w14:paraId="5DE6B33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833" w:type="dxa"/>
            <w:noWrap w:val="0"/>
            <w:vAlign w:val="center"/>
          </w:tcPr>
          <w:p w14:paraId="6EC9034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74CE94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atLeast"/>
              <w:ind w:left="0" w:leftChars="0" w:right="50" w:rightChars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4"/>
                <w:sz w:val="16"/>
                <w:szCs w:val="16"/>
              </w:rPr>
            </w:pPr>
          </w:p>
        </w:tc>
      </w:tr>
      <w:tr w14:paraId="0F10C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0F3396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年度总体目标</w:t>
            </w: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3CF59D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年初</w:t>
            </w: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预期目标</w:t>
            </w:r>
          </w:p>
        </w:tc>
        <w:tc>
          <w:tcPr>
            <w:tcW w:w="515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998C8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2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目标实际完成情况</w:t>
            </w:r>
          </w:p>
        </w:tc>
      </w:tr>
      <w:tr w14:paraId="4C989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1229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2680D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right="0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440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B4C0946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对具有钢城区户籍、已被认定为事实无抚养儿童身份，且年满18周岁在全日制普通本科、全日制普通专科、高等职业学校、中等职业学校等就读中专、大专、本科和硕士研究生进行助学资助。确保补助对象应补尽补，加大政策宣传，不断健全事实无抚养儿童的救助机制。</w:t>
            </w:r>
          </w:p>
        </w:tc>
        <w:tc>
          <w:tcPr>
            <w:tcW w:w="515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FD676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80" w:lineRule="exact"/>
              <w:ind w:left="66" w:leftChars="30" w:right="66" w:rightChars="30" w:firstLine="320" w:firstLineChars="20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为符合条件的12名事实无抚养儿童进行助学金的拨付，补贴对象审核正确率100%，资金发放及时性100%，应保尽保率100%，补助政策知晓度100%，受助对象满意度达100%，健全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事实无抚养儿童助学长效保障机制。</w:t>
            </w:r>
          </w:p>
        </w:tc>
      </w:tr>
      <w:tr w14:paraId="26253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329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611053E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5FF8511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F65A6F2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7B60B3BC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1368BB2A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52F08E15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64525090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43A6AB3F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  <w:p w14:paraId="1094ECC1">
            <w:pPr>
              <w:pStyle w:val="4"/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年度绩效指标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A092D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一级指标</w:t>
            </w:r>
          </w:p>
        </w:tc>
        <w:tc>
          <w:tcPr>
            <w:tcW w:w="1636" w:type="dxa"/>
            <w:noWrap w:val="0"/>
            <w:vAlign w:val="center"/>
          </w:tcPr>
          <w:p w14:paraId="3A44FB3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二级指标</w:t>
            </w:r>
          </w:p>
        </w:tc>
        <w:tc>
          <w:tcPr>
            <w:tcW w:w="1503" w:type="dxa"/>
            <w:noWrap w:val="0"/>
            <w:vAlign w:val="center"/>
          </w:tcPr>
          <w:p w14:paraId="499E427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三级指标</w:t>
            </w:r>
          </w:p>
        </w:tc>
        <w:tc>
          <w:tcPr>
            <w:tcW w:w="1265" w:type="dxa"/>
            <w:noWrap w:val="0"/>
            <w:vAlign w:val="center"/>
          </w:tcPr>
          <w:p w14:paraId="0D3C3C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</w:rPr>
              <w:t>年度目标值</w:t>
            </w:r>
          </w:p>
        </w:tc>
        <w:tc>
          <w:tcPr>
            <w:tcW w:w="1418" w:type="dxa"/>
            <w:noWrap w:val="0"/>
            <w:vAlign w:val="center"/>
          </w:tcPr>
          <w:p w14:paraId="1799967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val="en-US" w:eastAsia="zh-CN"/>
              </w:rPr>
              <w:t>实际完成指标值</w:t>
            </w:r>
          </w:p>
        </w:tc>
        <w:tc>
          <w:tcPr>
            <w:tcW w:w="873" w:type="dxa"/>
            <w:noWrap w:val="0"/>
            <w:vAlign w:val="center"/>
          </w:tcPr>
          <w:p w14:paraId="2AFE2E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分值</w:t>
            </w:r>
          </w:p>
        </w:tc>
        <w:tc>
          <w:tcPr>
            <w:tcW w:w="833" w:type="dxa"/>
            <w:noWrap w:val="0"/>
            <w:vAlign w:val="center"/>
          </w:tcPr>
          <w:p w14:paraId="1C3BA99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得分</w:t>
            </w:r>
          </w:p>
        </w:tc>
        <w:tc>
          <w:tcPr>
            <w:tcW w:w="2033" w:type="dxa"/>
            <w:noWrap w:val="0"/>
            <w:vAlign w:val="center"/>
          </w:tcPr>
          <w:p w14:paraId="73041E6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w w:val="105"/>
                <w:sz w:val="16"/>
                <w:szCs w:val="16"/>
                <w:lang w:eastAsia="zh-CN"/>
              </w:rPr>
              <w:t>偏差原因分析及改进措施</w:t>
            </w:r>
          </w:p>
        </w:tc>
      </w:tr>
      <w:tr w14:paraId="4EF47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879D0F0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57334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成本指标</w:t>
            </w:r>
          </w:p>
          <w:p w14:paraId="45D3394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（10分）</w:t>
            </w:r>
          </w:p>
        </w:tc>
        <w:tc>
          <w:tcPr>
            <w:tcW w:w="1636" w:type="dxa"/>
            <w:noWrap w:val="0"/>
            <w:vAlign w:val="center"/>
          </w:tcPr>
          <w:p w14:paraId="65580E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经济成本指标</w:t>
            </w:r>
          </w:p>
        </w:tc>
        <w:tc>
          <w:tcPr>
            <w:tcW w:w="1503" w:type="dxa"/>
            <w:noWrap w:val="0"/>
            <w:vAlign w:val="center"/>
          </w:tcPr>
          <w:p w14:paraId="270FFEC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项目总成本</w:t>
            </w:r>
          </w:p>
        </w:tc>
        <w:tc>
          <w:tcPr>
            <w:tcW w:w="1265" w:type="dxa"/>
            <w:noWrap w:val="0"/>
            <w:vAlign w:val="center"/>
          </w:tcPr>
          <w:p w14:paraId="36453A2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kern w:val="0"/>
                <w:sz w:val="16"/>
                <w:szCs w:val="16"/>
                <w:lang w:val="en-US" w:eastAsia="zh-CN" w:bidi="ar"/>
              </w:rPr>
              <w:t>≤18.25万元</w:t>
            </w:r>
          </w:p>
        </w:tc>
        <w:tc>
          <w:tcPr>
            <w:tcW w:w="1418" w:type="dxa"/>
            <w:noWrap w:val="0"/>
            <w:vAlign w:val="center"/>
          </w:tcPr>
          <w:p w14:paraId="7AA2BF6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3.75万元</w:t>
            </w:r>
          </w:p>
        </w:tc>
        <w:tc>
          <w:tcPr>
            <w:tcW w:w="873" w:type="dxa"/>
            <w:noWrap w:val="0"/>
            <w:vAlign w:val="center"/>
          </w:tcPr>
          <w:p w14:paraId="5089BA4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6FA9248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2.1</w:t>
            </w:r>
          </w:p>
        </w:tc>
        <w:tc>
          <w:tcPr>
            <w:tcW w:w="2033" w:type="dxa"/>
            <w:noWrap w:val="0"/>
            <w:vAlign w:val="center"/>
          </w:tcPr>
          <w:p w14:paraId="714CA41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  <w:lang w:val="en-US" w:eastAsia="zh-CN"/>
              </w:rPr>
              <w:t>2025年度该类项目资金支出总额3.75万元，剩余14.5万元本年度未支出，我单位已积极协调财政部门将剩余14.5万元结转于下年度继续使用。</w:t>
            </w:r>
          </w:p>
        </w:tc>
      </w:tr>
      <w:tr w14:paraId="277C1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FD54DD3">
            <w:pPr>
              <w:pStyle w:val="4"/>
              <w:ind w:left="218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00C82E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产出指标</w:t>
            </w:r>
          </w:p>
          <w:p w14:paraId="16167A1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（50分）</w:t>
            </w:r>
          </w:p>
        </w:tc>
        <w:tc>
          <w:tcPr>
            <w:tcW w:w="1636" w:type="dxa"/>
            <w:noWrap w:val="0"/>
            <w:vAlign w:val="center"/>
          </w:tcPr>
          <w:p w14:paraId="03C5992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74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数量指标</w:t>
            </w:r>
          </w:p>
        </w:tc>
        <w:tc>
          <w:tcPr>
            <w:tcW w:w="1503" w:type="dxa"/>
            <w:tcBorders>
              <w:bottom w:val="single" w:color="auto" w:sz="4" w:space="0"/>
            </w:tcBorders>
            <w:noWrap w:val="0"/>
            <w:vAlign w:val="center"/>
          </w:tcPr>
          <w:p w14:paraId="259BBBA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0" w:line="240" w:lineRule="atLeast"/>
              <w:ind w:right="30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保障事实无抚养儿童人数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 w14:paraId="28836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noWrap w:val="0"/>
            <w:vAlign w:val="center"/>
          </w:tcPr>
          <w:p w14:paraId="173A6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73" w:type="dxa"/>
            <w:noWrap w:val="0"/>
            <w:vAlign w:val="center"/>
          </w:tcPr>
          <w:p w14:paraId="067A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5078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1923813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1" w:line="240" w:lineRule="atLeast"/>
              <w:ind w:right="5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</w:tr>
      <w:tr w14:paraId="2A590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E894880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6BE3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80AA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C5DC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补助资金足额发放率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 w14:paraId="66A39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3410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5F991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833" w:type="dxa"/>
            <w:noWrap w:val="0"/>
            <w:vAlign w:val="center"/>
          </w:tcPr>
          <w:p w14:paraId="75945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2033" w:type="dxa"/>
            <w:noWrap w:val="0"/>
            <w:vAlign w:val="center"/>
          </w:tcPr>
          <w:p w14:paraId="2CE10C3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4C05A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B3FE9D5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0A2F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2924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34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补助对象审核正确率</w:t>
            </w:r>
          </w:p>
        </w:tc>
        <w:tc>
          <w:tcPr>
            <w:tcW w:w="1265" w:type="dxa"/>
            <w:tcBorders>
              <w:top w:val="single" w:color="auto" w:sz="4" w:space="0"/>
            </w:tcBorders>
            <w:noWrap w:val="0"/>
            <w:vAlign w:val="center"/>
          </w:tcPr>
          <w:p w14:paraId="01B39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0D4F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38768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w w:val="105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833" w:type="dxa"/>
            <w:noWrap w:val="0"/>
            <w:vAlign w:val="center"/>
          </w:tcPr>
          <w:p w14:paraId="60770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2033" w:type="dxa"/>
            <w:noWrap w:val="0"/>
            <w:vAlign w:val="center"/>
          </w:tcPr>
          <w:p w14:paraId="1012EAB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69BF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EF3516D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DB5B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color="auto" w:sz="4" w:space="0"/>
            </w:tcBorders>
            <w:noWrap w:val="0"/>
            <w:vAlign w:val="center"/>
          </w:tcPr>
          <w:p w14:paraId="52866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时效指标</w:t>
            </w:r>
          </w:p>
        </w:tc>
        <w:tc>
          <w:tcPr>
            <w:tcW w:w="1503" w:type="dxa"/>
            <w:tcBorders>
              <w:top w:val="single" w:color="auto" w:sz="4" w:space="0"/>
            </w:tcBorders>
            <w:noWrap w:val="0"/>
            <w:vAlign w:val="center"/>
          </w:tcPr>
          <w:p w14:paraId="7F9E822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补助资金发放及时率</w:t>
            </w:r>
          </w:p>
        </w:tc>
        <w:tc>
          <w:tcPr>
            <w:tcW w:w="1265" w:type="dxa"/>
            <w:noWrap w:val="0"/>
            <w:vAlign w:val="center"/>
          </w:tcPr>
          <w:p w14:paraId="330E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5D3A5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0C702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0F71B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6220984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72465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61CAA20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DEC74F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效益指标</w:t>
            </w:r>
          </w:p>
          <w:p w14:paraId="294EF14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30分</w:t>
            </w: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）</w:t>
            </w:r>
          </w:p>
          <w:p w14:paraId="3CB4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3AFB8C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</w:p>
          <w:p w14:paraId="32ED7E9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社会效益指标</w:t>
            </w:r>
          </w:p>
          <w:p w14:paraId="0E3430D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ind w:left="22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03" w:type="dxa"/>
            <w:tcBorders>
              <w:bottom w:val="single" w:color="auto" w:sz="4" w:space="0"/>
            </w:tcBorders>
            <w:noWrap w:val="0"/>
            <w:vAlign w:val="center"/>
          </w:tcPr>
          <w:p w14:paraId="2C6C91B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"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符合助学条件儿童应保尽保率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 w14:paraId="715A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577AB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73" w:type="dxa"/>
            <w:noWrap w:val="0"/>
            <w:vAlign w:val="center"/>
          </w:tcPr>
          <w:p w14:paraId="1C7EE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3EA29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26C42A8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4B3F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2248BC4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1356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7295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A00EA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1265" w:type="dxa"/>
            <w:tcBorders>
              <w:top w:val="single" w:color="auto" w:sz="4" w:space="0"/>
            </w:tcBorders>
            <w:noWrap w:val="0"/>
            <w:vAlign w:val="center"/>
          </w:tcPr>
          <w:p w14:paraId="206E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418" w:type="dxa"/>
            <w:noWrap w:val="0"/>
            <w:vAlign w:val="center"/>
          </w:tcPr>
          <w:p w14:paraId="5A09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90%</w:t>
            </w:r>
          </w:p>
        </w:tc>
        <w:tc>
          <w:tcPr>
            <w:tcW w:w="873" w:type="dxa"/>
            <w:noWrap w:val="0"/>
            <w:vAlign w:val="center"/>
          </w:tcPr>
          <w:p w14:paraId="0D2F8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1307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74055BC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3D8F5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D42A440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BC4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E11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可持续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影响指标</w:t>
            </w:r>
          </w:p>
        </w:tc>
        <w:tc>
          <w:tcPr>
            <w:tcW w:w="1503" w:type="dxa"/>
            <w:tcBorders>
              <w:top w:val="single" w:color="auto" w:sz="4" w:space="0"/>
            </w:tcBorders>
            <w:noWrap w:val="0"/>
            <w:vAlign w:val="center"/>
          </w:tcPr>
          <w:p w14:paraId="32EAAC6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46" w:line="240" w:lineRule="atLeast"/>
              <w:ind w:right="31"/>
              <w:jc w:val="both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事实无抚养儿童助学长效保障机制健全性</w:t>
            </w:r>
          </w:p>
        </w:tc>
        <w:tc>
          <w:tcPr>
            <w:tcW w:w="1265" w:type="dxa"/>
            <w:noWrap w:val="0"/>
            <w:vAlign w:val="center"/>
          </w:tcPr>
          <w:p w14:paraId="75B7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健全</w:t>
            </w:r>
          </w:p>
        </w:tc>
        <w:tc>
          <w:tcPr>
            <w:tcW w:w="1418" w:type="dxa"/>
            <w:noWrap w:val="0"/>
            <w:vAlign w:val="center"/>
          </w:tcPr>
          <w:p w14:paraId="56BE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健全</w:t>
            </w:r>
          </w:p>
        </w:tc>
        <w:tc>
          <w:tcPr>
            <w:tcW w:w="873" w:type="dxa"/>
            <w:noWrap w:val="0"/>
            <w:vAlign w:val="center"/>
          </w:tcPr>
          <w:p w14:paraId="5B15E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6244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1B98F91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111F5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2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AD24B78">
            <w:pPr>
              <w:jc w:val="center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5A64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满意度指标</w:t>
            </w:r>
          </w:p>
          <w:p w14:paraId="09F2F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(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)</w:t>
            </w:r>
          </w:p>
        </w:tc>
        <w:tc>
          <w:tcPr>
            <w:tcW w:w="16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756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40" w:lineRule="atLeast"/>
              <w:ind w:left="441" w:right="22" w:hanging="404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  <w:lang w:val="en-US" w:eastAsia="zh-CN"/>
              </w:rPr>
              <w:t>受益满</w:t>
            </w:r>
            <w:r>
              <w:rPr>
                <w:rFonts w:hint="eastAsia" w:ascii="仿宋" w:hAnsi="仿宋" w:eastAsia="仿宋" w:cs="仿宋"/>
                <w:color w:val="333333"/>
                <w:w w:val="105"/>
                <w:sz w:val="16"/>
                <w:szCs w:val="16"/>
              </w:rPr>
              <w:t>意度指标</w:t>
            </w: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47A4F9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1265" w:type="dxa"/>
            <w:noWrap w:val="0"/>
            <w:vAlign w:val="center"/>
          </w:tcPr>
          <w:p w14:paraId="2E3D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418" w:type="dxa"/>
            <w:noWrap w:val="0"/>
            <w:vAlign w:val="center"/>
          </w:tcPr>
          <w:p w14:paraId="65CE6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873" w:type="dxa"/>
            <w:noWrap w:val="0"/>
            <w:vAlign w:val="center"/>
          </w:tcPr>
          <w:p w14:paraId="5EAF3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33" w:type="dxa"/>
            <w:noWrap w:val="0"/>
            <w:vAlign w:val="center"/>
          </w:tcPr>
          <w:p w14:paraId="41A2F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033" w:type="dxa"/>
            <w:noWrap w:val="0"/>
            <w:vAlign w:val="center"/>
          </w:tcPr>
          <w:p w14:paraId="22E0267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 w14:paraId="5C8B6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8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B6E2A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eastAsia="zh-CN"/>
              </w:rPr>
              <w:t>总分</w:t>
            </w:r>
          </w:p>
        </w:tc>
        <w:tc>
          <w:tcPr>
            <w:tcW w:w="7925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898A8A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84.2</w:t>
            </w:r>
            <w:bookmarkStart w:id="0" w:name="_GoBack"/>
            <w:bookmarkEnd w:id="0"/>
          </w:p>
        </w:tc>
      </w:tr>
    </w:tbl>
    <w:p w14:paraId="377FBDFB"/>
    <w:p w14:paraId="0C531F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MzZlZGM0ZTNjOGNmNGI3OWM0YWRjMjFjZTgxZTgifQ=="/>
  </w:docVars>
  <w:rsids>
    <w:rsidRoot w:val="50044544"/>
    <w:rsid w:val="00097F13"/>
    <w:rsid w:val="002410F1"/>
    <w:rsid w:val="01913FB9"/>
    <w:rsid w:val="06652463"/>
    <w:rsid w:val="068B370B"/>
    <w:rsid w:val="095C7B4D"/>
    <w:rsid w:val="0C811679"/>
    <w:rsid w:val="0D0664E9"/>
    <w:rsid w:val="0E7E0566"/>
    <w:rsid w:val="0FD3043D"/>
    <w:rsid w:val="10D64689"/>
    <w:rsid w:val="12D15E76"/>
    <w:rsid w:val="12FB3F33"/>
    <w:rsid w:val="136A44D5"/>
    <w:rsid w:val="163D7253"/>
    <w:rsid w:val="17237EFC"/>
    <w:rsid w:val="1752433D"/>
    <w:rsid w:val="17E53404"/>
    <w:rsid w:val="185A5BA0"/>
    <w:rsid w:val="19695D78"/>
    <w:rsid w:val="1C3404B6"/>
    <w:rsid w:val="1C681FF6"/>
    <w:rsid w:val="1C9B22E3"/>
    <w:rsid w:val="1D5A219E"/>
    <w:rsid w:val="1D9C27B6"/>
    <w:rsid w:val="1F645556"/>
    <w:rsid w:val="1FF70178"/>
    <w:rsid w:val="209A7C3D"/>
    <w:rsid w:val="21FE134A"/>
    <w:rsid w:val="26396DF4"/>
    <w:rsid w:val="28877790"/>
    <w:rsid w:val="28A70580"/>
    <w:rsid w:val="28C360DD"/>
    <w:rsid w:val="2A994305"/>
    <w:rsid w:val="2B013C59"/>
    <w:rsid w:val="2EF75A9F"/>
    <w:rsid w:val="2F002133"/>
    <w:rsid w:val="2FC0028B"/>
    <w:rsid w:val="325D19C8"/>
    <w:rsid w:val="33A72170"/>
    <w:rsid w:val="343A7ADA"/>
    <w:rsid w:val="34507F6E"/>
    <w:rsid w:val="34727975"/>
    <w:rsid w:val="348A626A"/>
    <w:rsid w:val="34CF089B"/>
    <w:rsid w:val="34EC597A"/>
    <w:rsid w:val="358E6A31"/>
    <w:rsid w:val="35BB5A78"/>
    <w:rsid w:val="369812C8"/>
    <w:rsid w:val="376C68FE"/>
    <w:rsid w:val="37EF613E"/>
    <w:rsid w:val="3AC30F2B"/>
    <w:rsid w:val="3AD818AF"/>
    <w:rsid w:val="3B3C3253"/>
    <w:rsid w:val="3B6C15C2"/>
    <w:rsid w:val="3C4904D6"/>
    <w:rsid w:val="3C5928B0"/>
    <w:rsid w:val="3E83486D"/>
    <w:rsid w:val="3F8F7151"/>
    <w:rsid w:val="3FDA55FF"/>
    <w:rsid w:val="40C472E6"/>
    <w:rsid w:val="412010D8"/>
    <w:rsid w:val="414601C0"/>
    <w:rsid w:val="41840737"/>
    <w:rsid w:val="4360359D"/>
    <w:rsid w:val="437B6846"/>
    <w:rsid w:val="44DE708D"/>
    <w:rsid w:val="45FD79E7"/>
    <w:rsid w:val="469F45FA"/>
    <w:rsid w:val="473A4323"/>
    <w:rsid w:val="48EB7FCA"/>
    <w:rsid w:val="4ADD3943"/>
    <w:rsid w:val="4C7D362F"/>
    <w:rsid w:val="4C8147A2"/>
    <w:rsid w:val="4D3430C2"/>
    <w:rsid w:val="4DA2520B"/>
    <w:rsid w:val="4E255D2C"/>
    <w:rsid w:val="4E9133C2"/>
    <w:rsid w:val="4EB257AD"/>
    <w:rsid w:val="4FE439C5"/>
    <w:rsid w:val="4FE47521"/>
    <w:rsid w:val="50044544"/>
    <w:rsid w:val="510E1E6E"/>
    <w:rsid w:val="51B11685"/>
    <w:rsid w:val="5201085F"/>
    <w:rsid w:val="52351165"/>
    <w:rsid w:val="52E70521"/>
    <w:rsid w:val="54857525"/>
    <w:rsid w:val="54AC3115"/>
    <w:rsid w:val="55766E6E"/>
    <w:rsid w:val="55AB3C2F"/>
    <w:rsid w:val="55BA1450"/>
    <w:rsid w:val="574F7976"/>
    <w:rsid w:val="579932E7"/>
    <w:rsid w:val="5ABD72ED"/>
    <w:rsid w:val="5C4B1054"/>
    <w:rsid w:val="5C6A5252"/>
    <w:rsid w:val="5D177188"/>
    <w:rsid w:val="5EBB3B43"/>
    <w:rsid w:val="5F906629"/>
    <w:rsid w:val="5FD72B7F"/>
    <w:rsid w:val="600F05EB"/>
    <w:rsid w:val="61281730"/>
    <w:rsid w:val="612C1D2D"/>
    <w:rsid w:val="61DF3FED"/>
    <w:rsid w:val="641C6E32"/>
    <w:rsid w:val="66D93700"/>
    <w:rsid w:val="696D1EDE"/>
    <w:rsid w:val="6A170EE8"/>
    <w:rsid w:val="6AD22940"/>
    <w:rsid w:val="6B0B19AE"/>
    <w:rsid w:val="6D0A20C6"/>
    <w:rsid w:val="6E9A12BD"/>
    <w:rsid w:val="6F392F8E"/>
    <w:rsid w:val="70335C2F"/>
    <w:rsid w:val="71237306"/>
    <w:rsid w:val="71D074AE"/>
    <w:rsid w:val="731D4975"/>
    <w:rsid w:val="74402CEE"/>
    <w:rsid w:val="744A3547"/>
    <w:rsid w:val="75220020"/>
    <w:rsid w:val="788A6608"/>
    <w:rsid w:val="7C191192"/>
    <w:rsid w:val="7C9619C8"/>
    <w:rsid w:val="7D12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2082</Words>
  <Characters>2503</Characters>
  <Lines>0</Lines>
  <Paragraphs>0</Paragraphs>
  <TotalTime>1</TotalTime>
  <ScaleCrop>false</ScaleCrop>
  <LinksUpToDate>false</LinksUpToDate>
  <CharactersWithSpaces>2512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2024-07-01T06:43:00Z</dcterms:created>
  <dc:creator>Z</dc:creator>
  <cp:lastModifiedBy>方浩泽</cp:lastModifiedBy>
  <dcterms:modified xsi:type="dcterms:W3CDTF">2026-06-25T10:03:58Z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4F866AF10B694552B25E0B05C47F7E68_11</vt:lpwstr>
  </property>
  <property fmtid="{D5CDD505-2E9C-101B-9397-08002B2CF9AE}" pid="4" name="KSOTemplateDocerSaveRecord">
    <vt:lpwstr>eyJoZGlkIjoiMzk3NDU5N2JmMmRiNzg3MjA2MjczM2JiODNiZmMzNjYiLCJ1c2VySWQiOiIxNjkxOTY5NjYzIn0=</vt:lpwstr>
  </property>
</Properties>
</file>