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5C95">
      <w:pPr>
        <w:overflowPunct w:val="0"/>
        <w:spacing w:line="240" w:lineRule="exact"/>
        <w:ind w:firstLine="319"/>
        <w:rPr>
          <w:rFonts w:ascii="新宋体" w:hAnsi="新宋体" w:eastAsia="方正小标宋简体"/>
          <w:bCs/>
          <w:color w:val="FF0000"/>
          <w:w w:val="40"/>
          <w:sz w:val="40"/>
          <w:szCs w:val="40"/>
        </w:rPr>
      </w:pPr>
    </w:p>
    <w:p w14:paraId="0F5F4465">
      <w:pPr>
        <w:overflowPunct w:val="0"/>
        <w:spacing w:line="240" w:lineRule="exact"/>
        <w:ind w:firstLine="640"/>
        <w:rPr>
          <w:rFonts w:ascii="新宋体" w:hAnsi="新宋体"/>
        </w:rPr>
      </w:pPr>
    </w:p>
    <w:p w14:paraId="55F9ABAA">
      <w:pPr>
        <w:overflowPunct w:val="0"/>
        <w:spacing w:line="240" w:lineRule="exact"/>
        <w:ind w:firstLine="640"/>
        <w:rPr>
          <w:rFonts w:ascii="新宋体" w:hAnsi="新宋体"/>
        </w:rPr>
      </w:pPr>
    </w:p>
    <w:p w14:paraId="77833010">
      <w:pPr>
        <w:overflowPunct w:val="0"/>
        <w:spacing w:line="240" w:lineRule="exact"/>
        <w:ind w:firstLine="640"/>
        <w:rPr>
          <w:rFonts w:ascii="新宋体" w:hAnsi="新宋体"/>
        </w:rPr>
      </w:pPr>
    </w:p>
    <w:p w14:paraId="68C63F5E">
      <w:pPr>
        <w:overflowPunct w:val="0"/>
        <w:spacing w:line="240" w:lineRule="exact"/>
        <w:ind w:firstLine="640"/>
        <w:rPr>
          <w:rFonts w:ascii="新宋体" w:hAnsi="新宋体"/>
        </w:rPr>
      </w:pPr>
    </w:p>
    <w:p w14:paraId="10D0418D">
      <w:pPr>
        <w:overflowPunct w:val="0"/>
        <w:jc w:val="center"/>
        <w:rPr>
          <w:rFonts w:ascii="新宋体" w:hAnsi="新宋体" w:eastAsia="方正小标宋简体" w:cs="方正小标宋简体"/>
          <w:color w:val="FF0000"/>
          <w:w w:val="45"/>
          <w:sz w:val="146"/>
          <w:szCs w:val="146"/>
        </w:rPr>
      </w:pPr>
      <w:r>
        <w:rPr>
          <w:rFonts w:hint="eastAsia" w:ascii="新宋体" w:hAnsi="新宋体" w:eastAsia="方正小标宋简体" w:cs="方正小标宋简体"/>
          <w:color w:val="FF0000"/>
          <w:w w:val="45"/>
          <w:sz w:val="146"/>
          <w:szCs w:val="146"/>
        </w:rPr>
        <w:t>济南市钢城区人民政府办公室</w:t>
      </w:r>
    </w:p>
    <w:p w14:paraId="1EE7FB51">
      <w:pPr>
        <w:overflowPunct w:val="0"/>
        <w:spacing w:line="616" w:lineRule="exact"/>
        <w:ind w:firstLine="285"/>
        <w:rPr>
          <w:rFonts w:ascii="新宋体" w:hAnsi="新宋体" w:eastAsia="仿宋_GB2312"/>
          <w:bCs/>
          <w:color w:val="FF0000"/>
          <w:w w:val="45"/>
        </w:rPr>
      </w:pPr>
    </w:p>
    <w:p w14:paraId="5578C10D">
      <w:pPr>
        <w:overflowPunct w:val="0"/>
        <w:spacing w:line="616" w:lineRule="exact"/>
        <w:jc w:val="center"/>
        <w:rPr>
          <w:rFonts w:ascii="新宋体" w:hAnsi="新宋体" w:eastAsia="仿宋_GB2312"/>
          <w:bCs/>
          <w:sz w:val="32"/>
          <w:szCs w:val="32"/>
        </w:rPr>
      </w:pPr>
      <w:r>
        <w:rPr>
          <w:rFonts w:hint="eastAsia" w:ascii="新宋体" w:hAnsi="新宋体" w:eastAsia="仿宋_GB2312" w:cs="文星仿宋"/>
          <w:bCs/>
          <w:sz w:val="32"/>
          <w:szCs w:val="32"/>
        </w:rPr>
        <w:t>钢城政办字〔</w:t>
      </w:r>
      <w:r>
        <w:rPr>
          <w:rFonts w:hint="eastAsia" w:ascii="新宋体" w:hAnsi="新宋体" w:eastAsia="仿宋_GB2312" w:cs="新宋体"/>
          <w:bCs/>
          <w:sz w:val="32"/>
          <w:szCs w:val="32"/>
        </w:rPr>
        <w:t>202</w:t>
      </w:r>
      <w:r>
        <w:rPr>
          <w:rFonts w:ascii="新宋体" w:hAnsi="新宋体" w:eastAsia="仿宋_GB2312" w:cs="新宋体"/>
          <w:bCs/>
          <w:sz w:val="32"/>
          <w:szCs w:val="32"/>
        </w:rPr>
        <w:t>6</w:t>
      </w:r>
      <w:r>
        <w:rPr>
          <w:rFonts w:hint="eastAsia" w:ascii="新宋体" w:hAnsi="新宋体" w:eastAsia="仿宋_GB2312" w:cs="文星仿宋"/>
          <w:bCs/>
          <w:sz w:val="32"/>
          <w:szCs w:val="32"/>
        </w:rPr>
        <w:t>〕</w:t>
      </w:r>
      <w:r>
        <w:rPr>
          <w:rFonts w:ascii="新宋体" w:hAnsi="新宋体" w:eastAsia="仿宋_GB2312" w:cs="文星仿宋"/>
          <w:bCs/>
          <w:sz w:val="32"/>
          <w:szCs w:val="32"/>
        </w:rPr>
        <w:t>6</w:t>
      </w:r>
      <w:r>
        <w:rPr>
          <w:rFonts w:hint="eastAsia" w:ascii="新宋体" w:hAnsi="新宋体" w:eastAsia="仿宋_GB2312" w:cs="文星仿宋"/>
          <w:bCs/>
          <w:sz w:val="32"/>
          <w:szCs w:val="32"/>
        </w:rPr>
        <w:t>号</w:t>
      </w:r>
    </w:p>
    <w:p w14:paraId="761BF28C">
      <w:pPr>
        <w:overflowPunct w:val="0"/>
        <w:spacing w:line="590" w:lineRule="exact"/>
        <w:ind w:firstLine="640"/>
        <w:rPr>
          <w:rFonts w:ascii="新宋体" w:hAnsi="新宋体" w:eastAsia="仿宋_GB2312"/>
          <w:bCs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34925</wp:posOffset>
                </wp:positionV>
                <wp:extent cx="5687695" cy="0"/>
                <wp:effectExtent l="0" t="0" r="27305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76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2.75pt;height:0pt;width:447.85pt;mso-position-horizontal:center;z-index:-251657216;mso-width-relative:page;mso-height-relative:page;" filled="f" stroked="t" coordsize="21600,21600" o:gfxdata="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J8Ky1XUAAAA&#10;BAEAAA8AAAAAAAAAAQAgAAAAIgAAAGRycy9kb3ducmV2LnhtbFBLAQIUABQAAAAIAIdO4kD62Y5Z&#10;6AEAAKsDAAAOAAAAAAAAAAEAIAAAACMBAABkcnMvZTJvRG9jLnhtbFBLBQYAAAAABgAGAFkBAAB9&#10;BQAAAAA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537DD34B">
      <w:pPr>
        <w:overflowPunct w:val="0"/>
        <w:spacing w:line="600" w:lineRule="exact"/>
        <w:ind w:firstLine="198" w:firstLineChars="45"/>
        <w:jc w:val="center"/>
        <w:rPr>
          <w:rFonts w:ascii="新宋体" w:hAnsi="新宋体" w:eastAsia="方正小标宋简体"/>
          <w:sz w:val="44"/>
          <w:szCs w:val="44"/>
        </w:rPr>
      </w:pPr>
      <w:r>
        <w:rPr>
          <w:rFonts w:hint="eastAsia" w:ascii="新宋体" w:hAnsi="新宋体" w:eastAsia="方正小标宋简体"/>
          <w:sz w:val="44"/>
          <w:szCs w:val="44"/>
        </w:rPr>
        <w:t>济南市钢城区人民政府办公室</w:t>
      </w:r>
    </w:p>
    <w:p w14:paraId="213FD2C5">
      <w:pPr>
        <w:overflowPunct w:val="0"/>
        <w:spacing w:line="600" w:lineRule="exact"/>
        <w:ind w:firstLine="198" w:firstLineChars="45"/>
        <w:jc w:val="center"/>
        <w:rPr>
          <w:rStyle w:val="8"/>
          <w:rFonts w:ascii="宋体" w:hAnsi="宋体" w:eastAsia="方正小标宋简体" w:cs="方正小标宋简体"/>
          <w:bCs/>
          <w:sz w:val="44"/>
          <w:szCs w:val="44"/>
        </w:rPr>
      </w:pPr>
      <w:r>
        <w:rPr>
          <w:rFonts w:hint="eastAsia" w:ascii="宋体" w:hAnsi="宋体" w:eastAsia="方正小标宋简体"/>
          <w:sz w:val="44"/>
          <w:szCs w:val="44"/>
        </w:rPr>
        <w:t>关于印发</w:t>
      </w:r>
      <w:r>
        <w:rPr>
          <w:rFonts w:hint="eastAsia" w:ascii="宋体" w:hAnsi="宋体" w:eastAsia="方正小标宋简体" w:cs="方正小标宋简体"/>
          <w:bCs/>
          <w:sz w:val="44"/>
          <w:szCs w:val="44"/>
        </w:rPr>
        <w:t>钢城区优化营商环境创新提升行动工作方案</w:t>
      </w:r>
      <w:r>
        <w:rPr>
          <w:rFonts w:hint="eastAsia" w:ascii="宋体" w:hAnsi="宋体" w:eastAsia="方正小标宋简体"/>
          <w:sz w:val="44"/>
          <w:szCs w:val="44"/>
        </w:rPr>
        <w:t>的通</w:t>
      </w:r>
      <w:r>
        <w:rPr>
          <w:rStyle w:val="8"/>
          <w:rFonts w:hint="eastAsia" w:ascii="宋体" w:hAnsi="宋体" w:eastAsia="方正小标宋简体"/>
          <w:snapToGrid w:val="0"/>
          <w:kern w:val="0"/>
          <w:sz w:val="44"/>
          <w:szCs w:val="44"/>
        </w:rPr>
        <w:t>知</w:t>
      </w:r>
    </w:p>
    <w:p w14:paraId="2487CD13">
      <w:pPr>
        <w:overflowPunct w:val="0"/>
        <w:spacing w:line="616" w:lineRule="exact"/>
        <w:ind w:firstLine="640"/>
        <w:jc w:val="left"/>
        <w:rPr>
          <w:rFonts w:ascii="宋体" w:hAnsi="宋体" w:eastAsia="仿宋_GB2312" w:cs="仿宋_GB2312"/>
          <w:sz w:val="32"/>
          <w:szCs w:val="32"/>
        </w:rPr>
      </w:pPr>
    </w:p>
    <w:p w14:paraId="2CF79F03">
      <w:pPr>
        <w:overflowPunct w:val="0"/>
        <w:spacing w:line="616" w:lineRule="exact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各街道（功能区）办事处（管委会），区政府各部门，区属各企事业单位：</w:t>
      </w:r>
    </w:p>
    <w:p w14:paraId="26D0E24A">
      <w:pPr>
        <w:overflowPunct w:val="0"/>
        <w:spacing w:line="616" w:lineRule="exact"/>
        <w:ind w:firstLine="64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《钢城区优化营商环境创新提升行动工作方案》已经区委、区人民政府同意，现印发给你们，请认真组织实施。</w:t>
      </w:r>
    </w:p>
    <w:p w14:paraId="430BA6FC">
      <w:pPr>
        <w:overflowPunct w:val="0"/>
        <w:spacing w:line="616" w:lineRule="exact"/>
        <w:ind w:firstLine="640"/>
        <w:jc w:val="left"/>
        <w:rPr>
          <w:rFonts w:ascii="宋体" w:hAnsi="宋体" w:eastAsia="仿宋_GB2312" w:cs="仿宋_GB2312"/>
          <w:sz w:val="32"/>
          <w:szCs w:val="32"/>
        </w:rPr>
      </w:pPr>
    </w:p>
    <w:p w14:paraId="3519AC26">
      <w:pPr>
        <w:overflowPunct w:val="0"/>
        <w:spacing w:line="616" w:lineRule="exact"/>
        <w:ind w:firstLine="640"/>
        <w:jc w:val="right"/>
        <w:rPr>
          <w:rFonts w:ascii="宋体" w:hAnsi="宋体" w:eastAsia="仿宋_GB2312" w:cs="仿宋_GB2312"/>
          <w:sz w:val="32"/>
          <w:szCs w:val="32"/>
        </w:rPr>
      </w:pPr>
    </w:p>
    <w:p w14:paraId="7AF9089B">
      <w:pPr>
        <w:overflowPunct w:val="0"/>
        <w:spacing w:line="616" w:lineRule="exact"/>
        <w:ind w:firstLine="640"/>
        <w:jc w:val="center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 xml:space="preserve">                     济南市钢城区人民政府办公室</w:t>
      </w:r>
    </w:p>
    <w:p w14:paraId="5D5CB40C">
      <w:pPr>
        <w:wordWrap w:val="0"/>
        <w:overflowPunct w:val="0"/>
        <w:spacing w:line="616" w:lineRule="exact"/>
        <w:ind w:firstLine="640"/>
        <w:jc w:val="right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 xml:space="preserve">                    202</w:t>
      </w:r>
      <w:r>
        <w:rPr>
          <w:rFonts w:ascii="宋体" w:hAnsi="宋体" w:eastAsia="仿宋_GB2312" w:cs="仿宋_GB2312"/>
          <w:sz w:val="32"/>
          <w:szCs w:val="32"/>
        </w:rPr>
        <w:t>6</w:t>
      </w:r>
      <w:r>
        <w:rPr>
          <w:rFonts w:hint="eastAsia" w:ascii="宋体" w:hAnsi="宋体" w:eastAsia="仿宋_GB2312" w:cs="仿宋_GB2312"/>
          <w:sz w:val="32"/>
          <w:szCs w:val="32"/>
        </w:rPr>
        <w:t>年</w:t>
      </w:r>
      <w:r>
        <w:rPr>
          <w:rFonts w:ascii="宋体" w:hAnsi="宋体" w:eastAsia="仿宋_GB2312" w:cs="仿宋_GB2312"/>
          <w:sz w:val="32"/>
          <w:szCs w:val="32"/>
        </w:rPr>
        <w:t>5</w:t>
      </w:r>
      <w:r>
        <w:rPr>
          <w:rFonts w:hint="eastAsia" w:ascii="宋体" w:hAnsi="宋体" w:eastAsia="仿宋_GB2312" w:cs="仿宋_GB2312"/>
          <w:sz w:val="32"/>
          <w:szCs w:val="32"/>
        </w:rPr>
        <w:t>月</w:t>
      </w:r>
      <w:r>
        <w:rPr>
          <w:rFonts w:ascii="宋体" w:hAnsi="宋体" w:eastAsia="仿宋_GB2312" w:cs="仿宋_GB2312"/>
          <w:sz w:val="32"/>
          <w:szCs w:val="32"/>
        </w:rPr>
        <w:t>29</w:t>
      </w:r>
      <w:r>
        <w:rPr>
          <w:rFonts w:hint="eastAsia" w:ascii="宋体" w:hAnsi="宋体" w:eastAsia="仿宋_GB2312" w:cs="仿宋_GB2312"/>
          <w:sz w:val="32"/>
          <w:szCs w:val="32"/>
        </w:rPr>
        <w:t xml:space="preserve">日 </w:t>
      </w:r>
      <w:r>
        <w:rPr>
          <w:rFonts w:ascii="宋体" w:hAnsi="宋体" w:eastAsia="仿宋_GB2312" w:cs="仿宋_GB2312"/>
          <w:sz w:val="32"/>
          <w:szCs w:val="32"/>
        </w:rPr>
        <w:t xml:space="preserve">       </w:t>
      </w:r>
    </w:p>
    <w:p w14:paraId="7448352D">
      <w:pPr>
        <w:overflowPunct w:val="0"/>
        <w:spacing w:line="616" w:lineRule="exact"/>
        <w:ind w:firstLine="640"/>
        <w:jc w:val="left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（联系电话：区政府办公室，</w:t>
      </w:r>
      <w:r>
        <w:rPr>
          <w:rFonts w:ascii="宋体" w:hAnsi="宋体" w:eastAsia="仿宋_GB2312" w:cs="仿宋_GB2312"/>
          <w:sz w:val="32"/>
          <w:szCs w:val="32"/>
        </w:rPr>
        <w:t>76881266</w:t>
      </w:r>
      <w:r>
        <w:rPr>
          <w:rFonts w:hint="eastAsia" w:ascii="宋体" w:hAnsi="宋体" w:eastAsia="仿宋_GB2312" w:cs="仿宋_GB2312"/>
          <w:sz w:val="32"/>
          <w:szCs w:val="32"/>
        </w:rPr>
        <w:t>）</w:t>
      </w:r>
    </w:p>
    <w:p w14:paraId="0E59F955">
      <w:pPr>
        <w:overflowPunct w:val="0"/>
        <w:spacing w:line="616" w:lineRule="exact"/>
        <w:ind w:firstLine="640"/>
        <w:jc w:val="left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（此件公开发布）</w:t>
      </w:r>
    </w:p>
    <w:p w14:paraId="5E45568D">
      <w:pPr>
        <w:overflowPunct w:val="0"/>
        <w:spacing w:line="616" w:lineRule="exact"/>
        <w:ind w:firstLine="640"/>
        <w:jc w:val="left"/>
        <w:rPr>
          <w:rFonts w:ascii="宋体" w:hAnsi="宋体" w:eastAsia="仿宋_GB2312" w:cs="仿宋_GB2312"/>
          <w:sz w:val="32"/>
          <w:szCs w:val="32"/>
        </w:rPr>
      </w:pPr>
      <w:r>
        <w:rPr>
          <w:rFonts w:ascii="宋体" w:hAnsi="宋体" w:eastAsia="仿宋_GB2312" w:cs="仿宋_GB2312"/>
          <w:sz w:val="32"/>
          <w:szCs w:val="32"/>
        </w:rPr>
        <w:br w:type="page"/>
      </w:r>
    </w:p>
    <w:p w14:paraId="17FD25EC">
      <w:pPr>
        <w:overflowPunct w:val="0"/>
        <w:adjustRightInd w:val="0"/>
        <w:snapToGrid w:val="0"/>
        <w:spacing w:line="580" w:lineRule="exact"/>
        <w:rPr>
          <w:rFonts w:ascii="宋体" w:hAnsi="宋体" w:eastAsia="仿宋_GB2312" w:cs="仿宋_GB2312"/>
          <w:bCs/>
          <w:sz w:val="32"/>
          <w:szCs w:val="32"/>
        </w:rPr>
      </w:pPr>
    </w:p>
    <w:p w14:paraId="66B902A2">
      <w:pPr>
        <w:overflowPunct w:val="0"/>
        <w:adjustRightInd w:val="0"/>
        <w:snapToGrid w:val="0"/>
        <w:spacing w:line="580" w:lineRule="exact"/>
        <w:jc w:val="center"/>
        <w:rPr>
          <w:rFonts w:ascii="宋体" w:hAnsi="宋体" w:eastAsia="方正小标宋简体" w:cs="方正小标宋简体"/>
          <w:bCs/>
          <w:sz w:val="44"/>
          <w:szCs w:val="44"/>
        </w:rPr>
      </w:pPr>
      <w:r>
        <w:rPr>
          <w:rFonts w:hint="eastAsia" w:ascii="宋体" w:hAnsi="宋体" w:eastAsia="方正小标宋简体" w:cs="方正小标宋简体"/>
          <w:bCs/>
          <w:sz w:val="44"/>
          <w:szCs w:val="44"/>
        </w:rPr>
        <w:t>钢城区优化营商环境创新提升行动工作方案</w:t>
      </w:r>
    </w:p>
    <w:p w14:paraId="451DC558">
      <w:pPr>
        <w:overflowPunct w:val="0"/>
        <w:adjustRightInd w:val="0"/>
        <w:snapToGrid w:val="0"/>
        <w:spacing w:line="580" w:lineRule="exact"/>
        <w:rPr>
          <w:rFonts w:ascii="宋体" w:hAnsi="宋体" w:eastAsia="楷体_GB2312" w:cs="楷体_GB2312"/>
          <w:bCs/>
          <w:sz w:val="32"/>
          <w:szCs w:val="32"/>
        </w:rPr>
      </w:pPr>
    </w:p>
    <w:p w14:paraId="6A3D6858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为深入贯彻落实国家和省、市关于优化营商环境的决策部署，持续完善营商环境政策体系，加快打造更加公平、更加便捷、更有活力的一流营商环境，助力企业创新发展，服务产业集聚升级，全面推动全区营商环境建设提质增效，制定本方案。</w:t>
      </w:r>
    </w:p>
    <w:p w14:paraId="72330C41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黑体" w:cs="黑体"/>
          <w:bCs/>
          <w:sz w:val="32"/>
          <w:szCs w:val="32"/>
        </w:rPr>
        <w:t>一、健全企业服务机制</w:t>
      </w:r>
    </w:p>
    <w:p w14:paraId="57A9BFED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楷体_GB2312" w:cs="楷体_GB2312"/>
          <w:bCs/>
          <w:sz w:val="32"/>
          <w:szCs w:val="32"/>
        </w:rPr>
      </w:pPr>
      <w:r>
        <w:rPr>
          <w:rFonts w:hint="eastAsia" w:ascii="宋体" w:hAnsi="宋体" w:eastAsia="楷体_GB2312" w:cs="楷体_GB2312"/>
          <w:bCs/>
          <w:sz w:val="32"/>
          <w:szCs w:val="32"/>
        </w:rPr>
        <w:t>（一）推动政务服务智慧好办</w:t>
      </w:r>
    </w:p>
    <w:p w14:paraId="742EB3C3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1.推进关联事项集成办。完善“高效办成一件事”常态化运行机制，统筹抓好国家和省、市重点事项在我区落实落细。开展集中宣传月活动。强化已上线重点事项成效评价反馈，开展运行成效测试、“我陪群众走流程”等活动，提升“一件事”办理质效。配合推动定制客运、开办驾校等市级“一件事”服务场景落地运行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（责任单位：区行政审批服务局；完成时限：2026年12月底）</w:t>
      </w:r>
    </w:p>
    <w:p w14:paraId="5F293E95">
      <w:pPr>
        <w:overflowPunct w:val="0"/>
        <w:spacing w:line="58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2.推进高频事项智慧办。持续提升政务服务水平，构建全区协同的政务服务数据赋能体系，实现更大范围、更深层次的“网络通、数据通、业务通”。推动“云大厅”建设，提供“不见面”“零跑腿”的智慧化服务体验。推进“E企通·全档智管”平台建设和应用推广，助力企业电子信息管理使用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（责任单位：区行政审批服务局；完成时限：2026年12月底）</w:t>
      </w:r>
    </w:p>
    <w:p w14:paraId="5BC655DD">
      <w:pPr>
        <w:overflowPunct w:val="0"/>
        <w:spacing w:line="58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3.推进线上线下融合办。推进政务服务事项上网运行工作；推动事项线下集中办理，实现跨层级、跨区域受理帮办。推进区、街道、社区（村）三级政务服务场所提质升级，因地制宜推广“一专多能”服务模式，提升企业群众办事便利度。做优基层帮办代办服务，拓展上门办、预约办等服务形式。优化自助终端布局，推动高频事项就近办、自助办。〔</w:t>
      </w:r>
      <w:r>
        <w:rPr>
          <w:rFonts w:hint="eastAsia" w:ascii="宋体" w:hAnsi="宋体" w:eastAsia="楷体_GB2312" w:cs="楷体_GB2312"/>
          <w:bCs/>
          <w:sz w:val="32"/>
          <w:szCs w:val="32"/>
        </w:rPr>
        <w:t>责任单位：区行政审批服务局，各街道（功能区）；完成时限：2026年12月底〕</w:t>
      </w:r>
    </w:p>
    <w:p w14:paraId="628E02F4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楷体_GB2312" w:cs="楷体_GB2312"/>
          <w:bCs/>
          <w:sz w:val="32"/>
          <w:szCs w:val="32"/>
        </w:rPr>
      </w:pPr>
      <w:r>
        <w:rPr>
          <w:rFonts w:hint="eastAsia" w:ascii="宋体" w:hAnsi="宋体" w:eastAsia="楷体_GB2312" w:cs="楷体_GB2312"/>
          <w:bCs/>
          <w:sz w:val="32"/>
          <w:szCs w:val="32"/>
        </w:rPr>
        <w:t>（二）实现政企沟通高效便捷</w:t>
      </w:r>
    </w:p>
    <w:p w14:paraId="41DE5AD4">
      <w:pPr>
        <w:overflowPunct w:val="0"/>
        <w:spacing w:line="58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4</w:t>
      </w:r>
      <w:r>
        <w:rPr>
          <w:rFonts w:ascii="宋体" w:hAnsi="宋体" w:eastAsia="仿宋_GB2312" w:cs="仿宋_GB2312"/>
          <w:bCs/>
          <w:sz w:val="32"/>
          <w:szCs w:val="32"/>
        </w:rPr>
        <w:t>.完善常态化政企沟通</w:t>
      </w:r>
      <w:r>
        <w:rPr>
          <w:rFonts w:hint="eastAsia" w:ascii="宋体" w:hAnsi="宋体" w:eastAsia="仿宋_GB2312" w:cs="仿宋_GB2312"/>
          <w:bCs/>
          <w:sz w:val="32"/>
          <w:szCs w:val="32"/>
        </w:rPr>
        <w:t>机制</w:t>
      </w:r>
      <w:r>
        <w:rPr>
          <w:rFonts w:ascii="宋体" w:hAnsi="宋体" w:eastAsia="仿宋_GB2312" w:cs="仿宋_GB2312"/>
          <w:bCs/>
          <w:sz w:val="32"/>
          <w:szCs w:val="32"/>
        </w:rPr>
        <w:t>。持续优化区领导联系重点企业、常态化政企座谈等制度</w:t>
      </w:r>
      <w:r>
        <w:rPr>
          <w:rFonts w:hint="eastAsia" w:ascii="宋体" w:hAnsi="宋体" w:eastAsia="仿宋_GB2312" w:cs="仿宋_GB2312"/>
          <w:bCs/>
          <w:sz w:val="32"/>
          <w:szCs w:val="32"/>
        </w:rPr>
        <w:t>，</w:t>
      </w:r>
      <w:r>
        <w:rPr>
          <w:rFonts w:ascii="宋体" w:hAnsi="宋体" w:eastAsia="仿宋_GB2312" w:cs="仿宋_GB2312"/>
          <w:bCs/>
          <w:sz w:val="32"/>
          <w:szCs w:val="32"/>
        </w:rPr>
        <w:t>将征求重点企业、行业商协会意见作为重大涉企政策制定、重大产业项目实施的必要前置环节</w:t>
      </w:r>
      <w:r>
        <w:rPr>
          <w:rFonts w:hint="eastAsia" w:ascii="宋体" w:hAnsi="宋体" w:eastAsia="仿宋_GB2312" w:cs="仿宋_GB2312"/>
          <w:bCs/>
          <w:sz w:val="32"/>
          <w:szCs w:val="32"/>
        </w:rPr>
        <w:t>，</w:t>
      </w:r>
      <w:r>
        <w:rPr>
          <w:rFonts w:ascii="宋体" w:hAnsi="宋体" w:eastAsia="仿宋_GB2312" w:cs="仿宋_GB2312"/>
          <w:bCs/>
          <w:sz w:val="32"/>
          <w:szCs w:val="32"/>
        </w:rPr>
        <w:t>探索“营商环境全民体验官”和中小企业“季度恳谈会”等措施，注重发挥人大代表、政协委员以及商协会等的作用。整合区内“泉惠企”企业服务站和企业服务队资源，定期开展服务企业活动。</w:t>
      </w:r>
      <w:r>
        <w:rPr>
          <w:rFonts w:hint="eastAsia" w:ascii="宋体" w:hAnsi="宋体" w:eastAsia="仿宋_GB2312" w:cs="仿宋_GB2312"/>
          <w:bCs/>
          <w:sz w:val="32"/>
          <w:szCs w:val="32"/>
        </w:rPr>
        <w:t>〔</w:t>
      </w:r>
      <w:r>
        <w:rPr>
          <w:rFonts w:hint="eastAsia" w:ascii="宋体" w:hAnsi="宋体" w:eastAsia="楷体_GB2312" w:cs="楷体_GB2312"/>
          <w:bCs/>
          <w:sz w:val="32"/>
          <w:szCs w:val="32"/>
        </w:rPr>
        <w:t>责任单位：区发展改革局、区工业信息化和科技局、区行政审批服务局，各街道（功能区）；完成时限：2026年12月底〕</w:t>
      </w:r>
    </w:p>
    <w:p w14:paraId="46FE29E8">
      <w:pPr>
        <w:overflowPunct w:val="0"/>
        <w:spacing w:line="58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5</w:t>
      </w:r>
      <w:r>
        <w:rPr>
          <w:rFonts w:ascii="宋体" w:hAnsi="宋体" w:eastAsia="仿宋_GB2312" w:cs="仿宋_GB2312"/>
          <w:bCs/>
          <w:sz w:val="32"/>
          <w:szCs w:val="32"/>
        </w:rPr>
        <w:t>.多种方式开展企业</w:t>
      </w:r>
      <w:r>
        <w:rPr>
          <w:rFonts w:hint="eastAsia" w:ascii="宋体" w:hAnsi="宋体" w:eastAsia="仿宋_GB2312" w:cs="仿宋_GB2312"/>
          <w:bCs/>
          <w:sz w:val="32"/>
          <w:szCs w:val="32"/>
        </w:rPr>
        <w:t>走访</w:t>
      </w:r>
      <w:r>
        <w:rPr>
          <w:rFonts w:ascii="宋体" w:hAnsi="宋体" w:eastAsia="仿宋_GB2312" w:cs="仿宋_GB2312"/>
          <w:bCs/>
          <w:sz w:val="32"/>
          <w:szCs w:val="32"/>
        </w:rPr>
        <w:t>。加强与企业的沟通联系，在持续开展“千企万户大走访”活动的基础上</w:t>
      </w:r>
      <w:r>
        <w:rPr>
          <w:rFonts w:hint="eastAsia" w:ascii="宋体" w:hAnsi="宋体" w:eastAsia="仿宋_GB2312" w:cs="仿宋_GB2312"/>
          <w:bCs/>
          <w:sz w:val="32"/>
          <w:szCs w:val="32"/>
        </w:rPr>
        <w:t>继续扩大</w:t>
      </w:r>
      <w:r>
        <w:rPr>
          <w:rFonts w:ascii="宋体" w:hAnsi="宋体" w:eastAsia="仿宋_GB2312" w:cs="仿宋_GB2312"/>
          <w:bCs/>
          <w:sz w:val="32"/>
          <w:szCs w:val="32"/>
        </w:rPr>
        <w:t>辖区企业走访覆盖</w:t>
      </w:r>
      <w:r>
        <w:rPr>
          <w:rFonts w:hint="eastAsia" w:ascii="宋体" w:hAnsi="宋体" w:eastAsia="仿宋_GB2312" w:cs="仿宋_GB2312"/>
          <w:bCs/>
          <w:sz w:val="32"/>
          <w:szCs w:val="32"/>
        </w:rPr>
        <w:t>面</w:t>
      </w:r>
      <w:r>
        <w:rPr>
          <w:rFonts w:ascii="宋体" w:hAnsi="宋体" w:eastAsia="仿宋_GB2312" w:cs="仿宋_GB2312"/>
          <w:bCs/>
          <w:sz w:val="32"/>
          <w:szCs w:val="32"/>
        </w:rPr>
        <w:t>，加强对各企业经营情况的了解和问题诉求的征集，积极帮助企业纾困解难，助力企业发展壮大。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（责任单位：区发展改革局；完成时限：2026年12月底）</w:t>
      </w:r>
    </w:p>
    <w:p w14:paraId="5E33E818">
      <w:pPr>
        <w:overflowPunct w:val="0"/>
        <w:spacing w:line="57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6</w:t>
      </w:r>
      <w:r>
        <w:rPr>
          <w:rFonts w:ascii="宋体" w:hAnsi="宋体" w:eastAsia="仿宋_GB2312" w:cs="仿宋_GB2312"/>
          <w:bCs/>
          <w:sz w:val="32"/>
          <w:szCs w:val="32"/>
        </w:rPr>
        <w:t>.提升诉求解决效率。完善12345市民热线涉企诉求、“泉惠企”平台诉求、企业走访服务模块联动机制，畅通线上线下诉求收集渠道，完善涉企重大事项报告、诉求分级分类办理、跨部门协同处置、涉企诉求实质性办结认定等机制。</w:t>
      </w:r>
      <w:r>
        <w:rPr>
          <w:rFonts w:hint="eastAsia" w:ascii="宋体" w:hAnsi="宋体" w:eastAsia="仿宋_GB2312" w:cs="仿宋_GB2312"/>
          <w:bCs/>
          <w:sz w:val="32"/>
          <w:szCs w:val="32"/>
        </w:rPr>
        <w:t>健全“办不成事”反映窗口运行机制，确保企业群众诉求及时有效解决。</w:t>
      </w:r>
      <w:r>
        <w:rPr>
          <w:rFonts w:ascii="宋体" w:hAnsi="宋体" w:eastAsia="仿宋_GB2312" w:cs="仿宋_GB2312"/>
          <w:bCs/>
          <w:sz w:val="32"/>
          <w:szCs w:val="32"/>
        </w:rPr>
        <w:t>依托“钢好办</w:t>
      </w:r>
      <w:r>
        <w:rPr>
          <w:rFonts w:hint="eastAsia" w:ascii="宋体" w:hAnsi="宋体" w:eastAsia="微软雅黑" w:cs="微软雅黑"/>
          <w:bCs/>
          <w:sz w:val="32"/>
          <w:szCs w:val="32"/>
        </w:rPr>
        <w:t>・</w:t>
      </w:r>
      <w:r>
        <w:rPr>
          <w:rFonts w:hint="eastAsia" w:ascii="宋体" w:hAnsi="宋体" w:eastAsia="仿宋_GB2312" w:cs="仿宋_GB2312"/>
          <w:bCs/>
          <w:sz w:val="32"/>
          <w:szCs w:val="32"/>
        </w:rPr>
        <w:t>每月谈</w:t>
      </w:r>
      <w:r>
        <w:rPr>
          <w:rFonts w:ascii="宋体" w:hAnsi="宋体" w:eastAsia="仿宋_GB2312" w:cs="仿宋_GB2312"/>
          <w:bCs/>
          <w:sz w:val="32"/>
          <w:szCs w:val="32"/>
        </w:rPr>
        <w:t>”机制，归集各部门、街道走访涉企问题，建立“涉企诉求池”，深挖数据价值，为涉企政策制定、服务优化提供支撑。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（责任单位：区政府办公室、区行政审批服务局；完成时限：2026年12月底）</w:t>
      </w:r>
    </w:p>
    <w:p w14:paraId="1EDDC6EA">
      <w:pPr>
        <w:overflowPunct w:val="0"/>
        <w:adjustRightInd w:val="0"/>
        <w:snapToGrid w:val="0"/>
        <w:spacing w:line="57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7.优化惠企政策服务。依托“泉惠企”平台精准推送惠企政策，完善“政策问答”“政策计算器”功能，提升政策知晓覆盖面。完善惠企政策申请、受理、审核、兑现等全流程服务，深化惠企政策“直达快享”改革，力争惠企政策“即申即享”“免申即享”事项覆盖率50%以上。实现惠企政策全量通过“泉惠企”平台兑付，提升政策红利获取便利度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（责任单位：区行政审批服务局、区财政局；完成时限：2026年12月底）</w:t>
      </w:r>
    </w:p>
    <w:p w14:paraId="5B783967">
      <w:pPr>
        <w:overflowPunct w:val="0"/>
        <w:spacing w:line="570" w:lineRule="exact"/>
        <w:ind w:firstLine="640" w:firstLineChars="200"/>
        <w:rPr>
          <w:rFonts w:ascii="宋体" w:hAnsi="宋体" w:eastAsia="楷体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8</w:t>
      </w:r>
      <w:r>
        <w:rPr>
          <w:rFonts w:ascii="宋体" w:hAnsi="宋体" w:eastAsia="仿宋_GB2312" w:cs="仿宋_GB2312"/>
          <w:bCs/>
          <w:sz w:val="32"/>
          <w:szCs w:val="32"/>
        </w:rPr>
        <w:t>.</w:t>
      </w:r>
      <w:r>
        <w:rPr>
          <w:rFonts w:hint="eastAsia" w:ascii="宋体" w:hAnsi="宋体" w:eastAsia="仿宋_GB2312" w:cs="仿宋_GB2312"/>
          <w:bCs/>
          <w:sz w:val="32"/>
          <w:szCs w:val="32"/>
        </w:rPr>
        <w:t>推动商会赋能提效。深化商会“双服务双提升”工作，完善“双向赋能、梯次提升”工作体系。强化商会分级分类指导，显著提升商会政治意识和履职能力。积极组织民营企业家参加“泉城民营企业家大讲堂”等讲座活动，全年达到300人次。强化“亲清驿站”与“泉惠企”企业服务站联动共建，助力民营企业活动开展、诉求征集和</w:t>
      </w:r>
      <w:r>
        <w:rPr>
          <w:rFonts w:ascii="宋体" w:hAnsi="宋体" w:eastAsia="仿宋_GB2312" w:cs="仿宋_GB2312"/>
          <w:bCs/>
          <w:sz w:val="32"/>
          <w:szCs w:val="32"/>
        </w:rPr>
        <w:t>难题破解</w:t>
      </w:r>
      <w:r>
        <w:rPr>
          <w:rFonts w:hint="eastAsia" w:ascii="宋体" w:hAnsi="宋体" w:eastAsia="仿宋_GB2312" w:cs="仿宋_GB2312"/>
          <w:bCs/>
          <w:sz w:val="32"/>
          <w:szCs w:val="32"/>
        </w:rPr>
        <w:t>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〔责任单位：区工商联、区行政审批服务局，各街道（功能区）；完成时限：2026年12月底〕</w:t>
      </w:r>
    </w:p>
    <w:p w14:paraId="780A6C82">
      <w:pPr>
        <w:overflowPunct w:val="0"/>
        <w:adjustRightInd w:val="0"/>
        <w:snapToGrid w:val="0"/>
        <w:spacing w:line="57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楷体_GB2312" w:cs="楷体_GB2312"/>
          <w:bCs/>
          <w:sz w:val="32"/>
          <w:szCs w:val="32"/>
        </w:rPr>
        <w:t>（三）营造更优营商氛围</w:t>
      </w:r>
    </w:p>
    <w:p w14:paraId="3B33D9C7">
      <w:pPr>
        <w:overflowPunct w:val="0"/>
        <w:spacing w:line="580" w:lineRule="exact"/>
        <w:ind w:firstLine="640" w:firstLineChars="200"/>
        <w:rPr>
          <w:rFonts w:ascii="宋体" w:hAnsi="宋体" w:eastAsia="楷体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9.推动活力消费片区建设。提升老城区消费环境品质，优化北城子坡、西冶、洪沟等商业片区业态布局，提速特色餐饮、品牌首店等新业态引进培育。支持发展社区便民商业、夜间经济，打造体验型、减压型等特色消费场景。持续优化文体赛事运营服务，稳步升级“村拔”擂台赛品牌活动，吸纳客流40万人次以上，带动文旅等领域消费突破1000万元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〔责任单位：区商务局、区文化和旅游局，各街道（功能区）；完成时限：2026年12月底〕</w:t>
      </w:r>
    </w:p>
    <w:p w14:paraId="7069F4FE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楷体_GB2312" w:cs="楷体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10.擦亮“钢好办”营商服务品牌。弘扬开放创新包容的城市品格，</w:t>
      </w:r>
      <w:r>
        <w:rPr>
          <w:rFonts w:ascii="宋体" w:hAnsi="宋体" w:eastAsia="仿宋_GB2312" w:cs="仿宋_GB2312"/>
          <w:bCs/>
          <w:sz w:val="32"/>
          <w:szCs w:val="32"/>
        </w:rPr>
        <w:t>进一步提升服务企业的能力和水平，</w:t>
      </w:r>
      <w:r>
        <w:rPr>
          <w:rFonts w:hint="eastAsia" w:ascii="宋体" w:hAnsi="宋体" w:eastAsia="仿宋_GB2312" w:cs="仿宋_GB2312"/>
          <w:bCs/>
          <w:sz w:val="32"/>
          <w:szCs w:val="32"/>
        </w:rPr>
        <w:t>系统打造“1＋N”营商服务品牌矩阵</w:t>
      </w:r>
      <w:r>
        <w:rPr>
          <w:rFonts w:ascii="宋体" w:hAnsi="宋体" w:eastAsia="仿宋_GB2312" w:cs="仿宋_GB2312"/>
          <w:bCs/>
          <w:sz w:val="32"/>
          <w:szCs w:val="32"/>
        </w:rPr>
        <w:t>，</w:t>
      </w:r>
      <w:r>
        <w:rPr>
          <w:rFonts w:hint="eastAsia" w:ascii="宋体" w:hAnsi="宋体" w:eastAsia="仿宋_GB2312" w:cs="仿宋_GB2312"/>
          <w:bCs/>
          <w:sz w:val="32"/>
          <w:szCs w:val="32"/>
        </w:rPr>
        <w:t>鼓励各街道、园区形成“一街一品”“一园一特色”服务案例。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〔责任单位：区行政审批服务局，各街道（功能区）；完成时限：2026年12月底〕</w:t>
      </w:r>
    </w:p>
    <w:p w14:paraId="3033F6FF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楷体_GB2312" w:cs="楷体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11.加强作风纪律建设。组建察访组每季度开展一次集中察访工作，实地至各街道（功能区）、各部门单位，各级服务大厅、窗口单位、办公场所，严查工作人员违反工作纪律、脱岗串岗、吃拿卡要、敷衍塞责等不正之风。对违反工作纪律、损害营商环境的行为进行通报，性质严重的及时移交纪检监察机关依规依纪处置，持续建设风清气正的良好政务环境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〔责任单位：区纪委监委机关、区政府办公室、区行政审批服务局，各街道（功能区）；完成时限：2026年10月底〕</w:t>
      </w:r>
    </w:p>
    <w:p w14:paraId="61406BAF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黑体" w:cs="黑体"/>
          <w:bCs/>
          <w:sz w:val="32"/>
          <w:szCs w:val="32"/>
        </w:rPr>
      </w:pPr>
      <w:r>
        <w:rPr>
          <w:rFonts w:hint="eastAsia" w:ascii="宋体" w:hAnsi="宋体" w:eastAsia="黑体" w:cs="黑体"/>
          <w:bCs/>
          <w:sz w:val="32"/>
          <w:szCs w:val="32"/>
        </w:rPr>
        <w:t>二、优化产业发展生态</w:t>
      </w:r>
    </w:p>
    <w:p w14:paraId="581AD0CB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楷体_GB2312" w:cs="楷体_GB2312"/>
          <w:bCs/>
          <w:sz w:val="32"/>
          <w:szCs w:val="32"/>
        </w:rPr>
      </w:pPr>
      <w:r>
        <w:rPr>
          <w:rFonts w:hint="eastAsia" w:ascii="宋体" w:hAnsi="宋体" w:eastAsia="楷体_GB2312" w:cs="楷体_GB2312"/>
          <w:bCs/>
          <w:sz w:val="32"/>
          <w:szCs w:val="32"/>
        </w:rPr>
        <w:t>（一）加强产业链协同式发展</w:t>
      </w:r>
    </w:p>
    <w:p w14:paraId="10D1FF8A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12.实施融链固链行动。锚定“3＋2”主导产业链，发挥链主企业带动作用，促进大中小企业融通发展。开展产业链精准招商，深度挖掘产业链关键环节企业核心诉求，以需求牵引资源集聚，推动链上企业协同融通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（责任单位：区工业信息化和科技局、区投资促进局；完成时限：2026年12月底）</w:t>
      </w:r>
    </w:p>
    <w:p w14:paraId="7E134BF1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13.深化全区协同招商机制。深化“七个协同”招商机制，争取年内新增招商引资项目100个以上。动态更新“一图两清单”，靶向招引关键环节配套企业，签约落地优质产业项目80个以上。完善“谋划—招引—签约—落地—投产”闭环推进机制，保障项目及时开工建设。探索引进大型钢贸市场、农贸市场、物流园等平台载体</w:t>
      </w:r>
      <w:r>
        <w:rPr>
          <w:rFonts w:ascii="宋体" w:hAnsi="宋体" w:eastAsia="仿宋_GB2312" w:cs="仿宋_GB2312"/>
          <w:bCs/>
          <w:sz w:val="32"/>
          <w:szCs w:val="32"/>
        </w:rPr>
        <w:t>，助力市场主体多元化、规模化和高质量发展</w:t>
      </w:r>
      <w:r>
        <w:rPr>
          <w:rFonts w:hint="eastAsia" w:ascii="宋体" w:hAnsi="宋体" w:eastAsia="仿宋_GB2312" w:cs="仿宋_GB2312"/>
          <w:bCs/>
          <w:sz w:val="32"/>
          <w:szCs w:val="32"/>
        </w:rPr>
        <w:t>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（责任单位：区投资促进局、区商务局；完成时限：2026年12月底）</w:t>
      </w:r>
    </w:p>
    <w:p w14:paraId="229F0923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楷体_GB2312" w:cs="楷体_GB2312"/>
          <w:bCs/>
          <w:sz w:val="32"/>
          <w:szCs w:val="32"/>
        </w:rPr>
      </w:pPr>
      <w:r>
        <w:rPr>
          <w:rFonts w:hint="eastAsia" w:ascii="宋体" w:hAnsi="宋体" w:eastAsia="楷体_GB2312" w:cs="楷体_GB2312"/>
          <w:bCs/>
          <w:sz w:val="32"/>
          <w:szCs w:val="32"/>
        </w:rPr>
        <w:t>（</w:t>
      </w:r>
      <w:r>
        <w:rPr>
          <w:rFonts w:ascii="宋体" w:hAnsi="宋体" w:eastAsia="楷体_GB2312" w:cs="楷体_GB2312"/>
          <w:bCs/>
          <w:sz w:val="32"/>
          <w:szCs w:val="32"/>
        </w:rPr>
        <w:t>二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）优化项目</w:t>
      </w:r>
      <w:r>
        <w:rPr>
          <w:rFonts w:ascii="宋体" w:hAnsi="宋体" w:eastAsia="楷体_GB2312" w:cs="楷体_GB2312"/>
          <w:bCs/>
          <w:sz w:val="32"/>
          <w:szCs w:val="32"/>
        </w:rPr>
        <w:t>联合</w:t>
      </w:r>
      <w:r>
        <w:rPr>
          <w:rFonts w:hint="eastAsia" w:ascii="宋体" w:hAnsi="宋体" w:eastAsia="楷体_GB2312" w:cs="楷体_GB2312"/>
          <w:bCs/>
          <w:sz w:val="32"/>
          <w:szCs w:val="32"/>
        </w:rPr>
        <w:t>审批服务</w:t>
      </w:r>
    </w:p>
    <w:p w14:paraId="0DDCD787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14.优化项目审批流程。</w:t>
      </w:r>
      <w:r>
        <w:rPr>
          <w:rFonts w:ascii="宋体" w:hAnsi="宋体" w:eastAsia="仿宋_GB2312" w:cs="仿宋_GB2312"/>
          <w:bCs/>
          <w:sz w:val="32"/>
          <w:szCs w:val="32"/>
        </w:rPr>
        <w:t>完善项目管家队伍建设，探索建立覆盖“主体登记、立项规划、项目审批、竣工验收</w:t>
      </w:r>
      <w:r>
        <w:rPr>
          <w:rFonts w:hint="eastAsia" w:ascii="宋体" w:hAnsi="宋体" w:eastAsia="仿宋_GB2312" w:cs="仿宋_GB2312"/>
          <w:bCs/>
          <w:sz w:val="32"/>
          <w:szCs w:val="32"/>
        </w:rPr>
        <w:t>”</w:t>
      </w:r>
      <w:r>
        <w:rPr>
          <w:rFonts w:ascii="宋体" w:hAnsi="宋体" w:eastAsia="仿宋_GB2312" w:cs="仿宋_GB2312"/>
          <w:bCs/>
          <w:sz w:val="32"/>
          <w:szCs w:val="32"/>
        </w:rPr>
        <w:t>的全生命周期定制服务机制。</w:t>
      </w:r>
      <w:r>
        <w:rPr>
          <w:rFonts w:hint="eastAsia" w:ascii="宋体" w:hAnsi="宋体" w:eastAsia="仿宋_GB2312" w:cs="仿宋_GB2312"/>
          <w:bCs/>
          <w:sz w:val="32"/>
          <w:szCs w:val="32"/>
        </w:rPr>
        <w:t>深化工程建设项目审批“多审合一、多验合一”改革，落实落细项目开工“一件事”、固定资产投资项目审批“一件事”</w:t>
      </w:r>
      <w:r>
        <w:rPr>
          <w:rFonts w:ascii="宋体" w:hAnsi="宋体" w:eastAsia="仿宋_GB2312" w:cs="仿宋_GB2312"/>
          <w:bCs/>
          <w:sz w:val="32"/>
          <w:szCs w:val="32"/>
        </w:rPr>
        <w:t>等</w:t>
      </w:r>
      <w:r>
        <w:rPr>
          <w:rFonts w:hint="eastAsia" w:ascii="宋体" w:hAnsi="宋体" w:eastAsia="仿宋_GB2312" w:cs="仿宋_GB2312"/>
          <w:bCs/>
          <w:sz w:val="32"/>
          <w:szCs w:val="32"/>
        </w:rPr>
        <w:t>，通过部门集成服务推动项目快速落地实施。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（责任单位：区行政审批服务局；完成时限：2026年12月底）</w:t>
      </w:r>
    </w:p>
    <w:p w14:paraId="28C86DA8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15.全力推进项目建设。紧盯10个省级、30个市级、238个区级储备重点项目，强化全生命周期服务保障，加快推</w:t>
      </w:r>
      <w:r>
        <w:rPr>
          <w:rFonts w:ascii="宋体" w:hAnsi="宋体" w:eastAsia="仿宋_GB2312" w:cs="仿宋_GB2312"/>
          <w:bCs/>
          <w:sz w:val="32"/>
          <w:szCs w:val="32"/>
        </w:rPr>
        <w:t>进</w:t>
      </w:r>
      <w:r>
        <w:rPr>
          <w:rFonts w:hint="eastAsia" w:ascii="宋体" w:hAnsi="宋体" w:eastAsia="仿宋_GB2312" w:cs="仿宋_GB2312"/>
          <w:bCs/>
          <w:sz w:val="32"/>
          <w:szCs w:val="32"/>
        </w:rPr>
        <w:t>90个在库转接项目建设，抓好116个计划新入库纳统项目服务，有效推进投资量稳质升。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（责任单位：区发展改革局；完成时限：2026年12月底）</w:t>
      </w:r>
    </w:p>
    <w:p w14:paraId="41B4A156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楷体_GB2312" w:cs="楷体_GB2312"/>
          <w:bCs/>
          <w:sz w:val="32"/>
          <w:szCs w:val="32"/>
        </w:rPr>
      </w:pPr>
      <w:r>
        <w:rPr>
          <w:rFonts w:hint="eastAsia" w:ascii="宋体" w:hAnsi="宋体" w:eastAsia="楷体_GB2312" w:cs="楷体_GB2312"/>
          <w:bCs/>
          <w:sz w:val="32"/>
          <w:szCs w:val="32"/>
        </w:rPr>
        <w:t>（</w:t>
      </w:r>
      <w:r>
        <w:rPr>
          <w:rFonts w:ascii="宋体" w:hAnsi="宋体" w:eastAsia="楷体_GB2312" w:cs="楷体_GB2312"/>
          <w:bCs/>
          <w:sz w:val="32"/>
          <w:szCs w:val="32"/>
        </w:rPr>
        <w:t>三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）加强</w:t>
      </w:r>
      <w:r>
        <w:rPr>
          <w:rFonts w:ascii="宋体" w:hAnsi="宋体" w:eastAsia="楷体_GB2312" w:cs="楷体_GB2312"/>
          <w:bCs/>
          <w:sz w:val="32"/>
          <w:szCs w:val="32"/>
        </w:rPr>
        <w:t>要素支持</w:t>
      </w:r>
      <w:r>
        <w:rPr>
          <w:rFonts w:hint="eastAsia" w:ascii="宋体" w:hAnsi="宋体" w:eastAsia="楷体_GB2312" w:cs="楷体_GB2312"/>
          <w:bCs/>
          <w:sz w:val="32"/>
          <w:szCs w:val="32"/>
        </w:rPr>
        <w:t>保障力度</w:t>
      </w:r>
    </w:p>
    <w:p w14:paraId="2038F6A4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16.加大企业供需对接力度。根据产业结构特点，提升本地企业配套率，围绕企业需求，年内开展各类企业供需对接会不少于10场次。持续推广“泉惠企</w:t>
      </w:r>
      <w:r>
        <w:rPr>
          <w:rFonts w:ascii="宋体" w:hAnsi="宋体" w:eastAsia="仿宋_GB2312" w:cs="仿宋_GB2312"/>
          <w:bCs/>
          <w:sz w:val="32"/>
          <w:szCs w:val="32"/>
        </w:rPr>
        <w:t>”平台</w:t>
      </w:r>
      <w:r>
        <w:rPr>
          <w:rFonts w:hint="eastAsia" w:ascii="宋体" w:hAnsi="宋体" w:eastAsia="仿宋_GB2312" w:cs="仿宋_GB2312"/>
          <w:bCs/>
          <w:sz w:val="32"/>
          <w:szCs w:val="32"/>
        </w:rPr>
        <w:t>供需服务</w:t>
      </w:r>
      <w:r>
        <w:rPr>
          <w:rFonts w:ascii="宋体" w:hAnsi="宋体" w:eastAsia="仿宋_GB2312" w:cs="仿宋_GB2312"/>
          <w:bCs/>
          <w:sz w:val="32"/>
          <w:szCs w:val="32"/>
        </w:rPr>
        <w:t>模块</w:t>
      </w:r>
      <w:r>
        <w:rPr>
          <w:rFonts w:hint="eastAsia" w:ascii="宋体" w:hAnsi="宋体" w:eastAsia="仿宋_GB2312" w:cs="仿宋_GB2312"/>
          <w:bCs/>
          <w:sz w:val="32"/>
          <w:szCs w:val="32"/>
        </w:rPr>
        <w:t>，提高企业入驻率和信息发布活跃度。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（责任单位：区工业信息化和科技局、区行政审批服务局；完成时限：2026年12月底）</w:t>
      </w:r>
    </w:p>
    <w:p w14:paraId="2D4CB6C5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17.持续加大融资服务力度。常态化开展政银企对接活动，帮助解决小微企业实际融资困难，全年开展政银企对接活动10次。加强融资服务平台应用宣传推介，助力中小微企业融资提质增效。持续加大信贷投放，全面落实无还本续贷、首贷培植政策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（责任单位：区金融运行监测中心；完成时限：2026年12月底）</w:t>
      </w:r>
    </w:p>
    <w:p w14:paraId="2D2D047F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18</w:t>
      </w:r>
      <w:r>
        <w:rPr>
          <w:rFonts w:ascii="宋体" w:hAnsi="宋体" w:eastAsia="仿宋_GB2312" w:cs="仿宋_GB2312"/>
          <w:bCs/>
          <w:sz w:val="32"/>
          <w:szCs w:val="32"/>
        </w:rPr>
        <w:t>.打造“类海外”环境。</w:t>
      </w:r>
      <w:r>
        <w:rPr>
          <w:rFonts w:hint="eastAsia" w:ascii="宋体" w:hAnsi="宋体" w:eastAsia="仿宋_GB2312" w:cs="仿宋_GB2312"/>
          <w:bCs/>
          <w:sz w:val="32"/>
          <w:szCs w:val="32"/>
        </w:rPr>
        <w:t>持续推进“类海外”环境建设，探索“国际范”与“钢城元素”的创新融合，推动建成3—5个涉外服务港、友城花园、国际人才俱乐部、国际化语言环境等“类海外”环境项目。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（责任单位：区委外办；完成时限：2026年12月底）</w:t>
      </w:r>
    </w:p>
    <w:p w14:paraId="0A98086F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楷体_GB2312" w:cs="楷体_GB2312"/>
          <w:bCs/>
          <w:sz w:val="32"/>
          <w:szCs w:val="32"/>
        </w:rPr>
      </w:pPr>
      <w:r>
        <w:rPr>
          <w:rFonts w:hint="eastAsia" w:ascii="宋体" w:hAnsi="宋体" w:eastAsia="楷体_GB2312" w:cs="楷体_GB2312"/>
          <w:bCs/>
          <w:sz w:val="32"/>
          <w:szCs w:val="32"/>
        </w:rPr>
        <w:t>（</w:t>
      </w:r>
      <w:r>
        <w:rPr>
          <w:rFonts w:ascii="宋体" w:hAnsi="宋体" w:eastAsia="楷体_GB2312" w:cs="楷体_GB2312"/>
          <w:bCs/>
          <w:sz w:val="32"/>
          <w:szCs w:val="32"/>
        </w:rPr>
        <w:t>四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）加大产业协同与转化促进</w:t>
      </w:r>
    </w:p>
    <w:p w14:paraId="39A886EF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19.深化技术创新与产业创新融合。坚持创新驱动，全社会研发经费投入占比保持在4%以上，每万人高价值发明专利拥有量增长6.7%以上，全年完成高价值发明专利24件。积极组织钢城区产品参加全市新产品遴选，参评《济南市优势工业产品目录》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（责任单位：区工业信息化和科技局、区市场监管局；完成时限：2026年12月底）</w:t>
      </w:r>
    </w:p>
    <w:p w14:paraId="0EF41B62">
      <w:pPr>
        <w:overflowPunct w:val="0"/>
        <w:adjustRightInd w:val="0"/>
        <w:snapToGrid w:val="0"/>
        <w:spacing w:line="57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20.强化产学研合作。培育技术经理人队伍，搭建高校院所和企业对接桥梁。组织高校院所企业技术成果对接会，挖掘高校院所成果与企业需求，高质量促进科技成果转化。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（责任单位：区工业信息化和科技局；完成时限：2026年12月底）</w:t>
      </w:r>
    </w:p>
    <w:p w14:paraId="75503E4C">
      <w:pPr>
        <w:overflowPunct w:val="0"/>
        <w:adjustRightInd w:val="0"/>
        <w:snapToGrid w:val="0"/>
        <w:spacing w:line="57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21.强化专利转化运用。积极引导企业对所需技术专利开展产业化前景评价，科技部门和技术经理人组织开展与高校的区域定向专利许可，围绕产业需求定制专利菜单，向企业精准推送，力争年底专利转让许可数增幅高于全国平均增幅，完成专利技术转移转化7件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（责任单位：区市场监管局；完成时限：2026年12月底）</w:t>
      </w:r>
    </w:p>
    <w:p w14:paraId="1FD698C1">
      <w:pPr>
        <w:overflowPunct w:val="0"/>
        <w:adjustRightInd w:val="0"/>
        <w:snapToGrid w:val="0"/>
        <w:spacing w:line="570" w:lineRule="exact"/>
        <w:ind w:firstLine="640" w:firstLineChars="200"/>
        <w:rPr>
          <w:rFonts w:ascii="宋体" w:hAnsi="宋体" w:eastAsia="黑体" w:cs="黑体"/>
          <w:bCs/>
          <w:sz w:val="32"/>
          <w:szCs w:val="32"/>
        </w:rPr>
      </w:pPr>
      <w:r>
        <w:rPr>
          <w:rFonts w:hint="eastAsia" w:ascii="宋体" w:hAnsi="宋体" w:eastAsia="黑体" w:cs="黑体"/>
          <w:bCs/>
          <w:sz w:val="32"/>
          <w:szCs w:val="32"/>
        </w:rPr>
        <w:t>三、涵养创新创业生态</w:t>
      </w:r>
    </w:p>
    <w:p w14:paraId="6FB1EB4A">
      <w:pPr>
        <w:overflowPunct w:val="0"/>
        <w:adjustRightInd w:val="0"/>
        <w:snapToGrid w:val="0"/>
        <w:spacing w:line="570" w:lineRule="exact"/>
        <w:ind w:firstLine="640" w:firstLineChars="200"/>
        <w:rPr>
          <w:rFonts w:ascii="宋体" w:hAnsi="宋体" w:eastAsia="楷体_GB2312" w:cs="楷体_GB2312"/>
          <w:bCs/>
          <w:sz w:val="32"/>
          <w:szCs w:val="32"/>
        </w:rPr>
      </w:pPr>
      <w:r>
        <w:rPr>
          <w:rFonts w:hint="eastAsia" w:ascii="宋体" w:hAnsi="宋体" w:eastAsia="楷体_GB2312" w:cs="楷体_GB2312"/>
          <w:bCs/>
          <w:sz w:val="32"/>
          <w:szCs w:val="32"/>
        </w:rPr>
        <w:t>（一）强化创新创业载体服务</w:t>
      </w:r>
    </w:p>
    <w:p w14:paraId="7A475980">
      <w:pPr>
        <w:overflowPunct w:val="0"/>
        <w:adjustRightInd w:val="0"/>
        <w:snapToGrid w:val="0"/>
        <w:spacing w:line="57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22.建强科创载体平台。用好区科创中心、开发区创新创业示范园等载体平台，</w:t>
      </w:r>
      <w:r>
        <w:rPr>
          <w:rFonts w:ascii="宋体" w:hAnsi="宋体" w:eastAsia="仿宋_GB2312" w:cs="仿宋_GB2312"/>
          <w:bCs/>
          <w:sz w:val="32"/>
          <w:szCs w:val="32"/>
        </w:rPr>
        <w:t>推动优质项目入驻，</w:t>
      </w:r>
      <w:r>
        <w:rPr>
          <w:rFonts w:hint="eastAsia" w:ascii="宋体" w:hAnsi="宋体" w:eastAsia="仿宋_GB2312" w:cs="仿宋_GB2312"/>
          <w:bCs/>
          <w:sz w:val="32"/>
          <w:szCs w:val="32"/>
        </w:rPr>
        <w:t>打造标志性创新创业集聚区。大力支持龙头企业与高校、科研院所共建技术创新中心、重点实验室等科技平台。开展“创业导师进孵化基地”“创业政策进园区”等活动，为企业提供指导与政策支持。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（责任单位：区人力资源社会保障局、区工业信息化和科技局；完成时限：2026年12月底）</w:t>
      </w:r>
    </w:p>
    <w:p w14:paraId="686E6DF3">
      <w:pPr>
        <w:overflowPunct w:val="0"/>
        <w:adjustRightInd w:val="0"/>
        <w:snapToGrid w:val="0"/>
        <w:spacing w:line="570" w:lineRule="exact"/>
        <w:ind w:firstLine="640" w:firstLineChars="200"/>
        <w:rPr>
          <w:rFonts w:ascii="宋体" w:hAnsi="宋体" w:eastAsia="楷体_GB2312" w:cs="楷体_GB2312"/>
          <w:bCs/>
          <w:sz w:val="32"/>
          <w:szCs w:val="32"/>
        </w:rPr>
      </w:pPr>
      <w:r>
        <w:rPr>
          <w:rFonts w:hint="eastAsia" w:ascii="宋体" w:hAnsi="宋体" w:eastAsia="楷体_GB2312" w:cs="楷体_GB2312"/>
          <w:bCs/>
          <w:sz w:val="32"/>
          <w:szCs w:val="32"/>
        </w:rPr>
        <w:t>（二）企业培育与成长支持</w:t>
      </w:r>
    </w:p>
    <w:p w14:paraId="1D529844">
      <w:pPr>
        <w:overflowPunct w:val="0"/>
        <w:adjustRightInd w:val="0"/>
        <w:snapToGrid w:val="0"/>
        <w:spacing w:line="57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23.培育壮大民营市场主体。制定“种子企业”培育计划，优选一批生产经营稳定、创新力强、潜力突出的企业纳入重点培育库，开展梯度培育。举办资本市场专题培训班，提升企业对接资本市场能力，新增2家上市后备企业，纳入省资本市场服务平台。支持重点出口企业扩大出口规模，帮扶成长</w:t>
      </w:r>
      <w:r>
        <w:rPr>
          <w:rFonts w:hint="eastAsia" w:ascii="宋体" w:hAnsi="宋体" w:eastAsia="仿宋_GB2312" w:cs="仿宋_GB2312"/>
          <w:bCs/>
          <w:sz w:val="32"/>
          <w:szCs w:val="32"/>
          <w:lang w:eastAsia="zh-CN"/>
        </w:rPr>
        <w:t>型</w:t>
      </w:r>
      <w:bookmarkStart w:id="6" w:name="_GoBack"/>
      <w:bookmarkEnd w:id="6"/>
      <w:r>
        <w:rPr>
          <w:rFonts w:hint="eastAsia" w:ascii="宋体" w:hAnsi="宋体" w:eastAsia="仿宋_GB2312" w:cs="仿宋_GB2312"/>
          <w:bCs/>
          <w:sz w:val="32"/>
          <w:szCs w:val="32"/>
        </w:rPr>
        <w:t>出口企业解决手续办理等问题，推动出口业务稳步上量。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（责任单位：区发展改革局、区工业信息化和科技局、区金融运行监测中心；完成时限：2026年12月底）</w:t>
      </w:r>
    </w:p>
    <w:p w14:paraId="37B5237D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楷体_GB2312" w:cs="楷体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24.推进科技型企业登峰计划。聚焦高层次人才、高价值专利、股权融资等要素，对掌握关键核心技术、市场前景良好的科技型企业开展集中培训与一对一辅导。突出企业创新主体地位，新培育创新型中小企业、“专精特新”、单项冠军等品牌企业10家，申报高新技术企业30家，科技型中小企业评价入库150家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（责任单位：区工业信息化和科技局、区发展改革局、区市场监管局、区金融运行监测中心；完成时限：2026年12月底）</w:t>
      </w:r>
    </w:p>
    <w:p w14:paraId="25F8B28D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楷体_GB2312" w:cs="楷体_GB2312"/>
          <w:bCs/>
          <w:sz w:val="32"/>
          <w:szCs w:val="32"/>
        </w:rPr>
      </w:pPr>
      <w:r>
        <w:rPr>
          <w:rFonts w:hint="eastAsia" w:ascii="宋体" w:hAnsi="宋体" w:eastAsia="楷体_GB2312" w:cs="楷体_GB2312"/>
          <w:bCs/>
          <w:sz w:val="32"/>
          <w:szCs w:val="32"/>
        </w:rPr>
        <w:t>（三）人才引育与服务保障</w:t>
      </w:r>
    </w:p>
    <w:p w14:paraId="3D396B9B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25.拓展“产才对接”机制。与山钢股份和莱钢集团常态化沟通对接，加大产业人才共享共用。精准链接钢城区产业需求与人力智力资源，举办“才聚泉城高校行”等引才活动，高质量承办第九届中国（济南）新动能创新创业大赛西安赛区，争取落地一批优质人才项目。加大促进就业政策支持和劳动就业服务力度，印发《钢城人才20条政策措施（2026版）》，构建“1310”人才服务体系。支持人才创业，加强面向创业者和中小企业管理层的培训辅导，提升企业合规经营能力。培育市级及以上产业领军人才不少于5人、各类技术技能人才300人以上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（责任单位：区委组织部、区工业信息化和科技局、区人力资源社会保障局、区税务局；完成时限：2026年12月底）</w:t>
      </w:r>
    </w:p>
    <w:p w14:paraId="1493A79A">
      <w:pPr>
        <w:overflowPunct w:val="0"/>
        <w:spacing w:line="580" w:lineRule="exact"/>
        <w:ind w:firstLine="640" w:firstLineChars="200"/>
        <w:rPr>
          <w:rFonts w:ascii="宋体" w:hAnsi="宋体" w:eastAsia="楷体_GB2312" w:cs="楷体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26.打造钢城企业家队伍。完善民营经济培训体系，年内组织商会、企业到先进区县、优秀企业学习交流10次以上。</w:t>
      </w:r>
      <w:r>
        <w:rPr>
          <w:rFonts w:ascii="宋体" w:hAnsi="宋体" w:eastAsia="仿宋_GB2312" w:cs="仿宋_GB2312"/>
          <w:bCs/>
          <w:sz w:val="32"/>
          <w:szCs w:val="32"/>
        </w:rPr>
        <w:t>充分发挥各街道</w:t>
      </w:r>
      <w:r>
        <w:rPr>
          <w:rFonts w:hint="eastAsia" w:ascii="宋体" w:hAnsi="宋体" w:eastAsia="仿宋_GB2312" w:cs="仿宋_GB2312"/>
          <w:bCs/>
          <w:sz w:val="32"/>
          <w:szCs w:val="32"/>
        </w:rPr>
        <w:t>商会</w:t>
      </w:r>
      <w:r>
        <w:rPr>
          <w:rFonts w:ascii="宋体" w:hAnsi="宋体" w:eastAsia="仿宋_GB2312" w:cs="仿宋_GB2312"/>
          <w:bCs/>
          <w:sz w:val="32"/>
          <w:szCs w:val="32"/>
        </w:rPr>
        <w:t>、</w:t>
      </w:r>
      <w:r>
        <w:rPr>
          <w:rFonts w:hint="eastAsia" w:ascii="宋体" w:hAnsi="宋体" w:eastAsia="仿宋_GB2312" w:cs="仿宋_GB2312"/>
          <w:bCs/>
          <w:sz w:val="32"/>
          <w:szCs w:val="32"/>
        </w:rPr>
        <w:t>女企业家商会、青年企业家协会、新生代企业家联谊会</w:t>
      </w:r>
      <w:r>
        <w:rPr>
          <w:rFonts w:ascii="宋体" w:hAnsi="宋体" w:eastAsia="仿宋_GB2312" w:cs="仿宋_GB2312"/>
          <w:bCs/>
          <w:sz w:val="32"/>
          <w:szCs w:val="32"/>
        </w:rPr>
        <w:t>等商协会作用</w:t>
      </w:r>
      <w:r>
        <w:rPr>
          <w:rFonts w:hint="eastAsia" w:ascii="宋体" w:hAnsi="宋体" w:eastAsia="仿宋_GB2312" w:cs="仿宋_GB2312"/>
          <w:bCs/>
          <w:sz w:val="32"/>
          <w:szCs w:val="32"/>
        </w:rPr>
        <w:t>，建立传帮带辅导制度，推动民营企业有序传承发展。组织各类培训交流活动10场以上，覆盖企业家1000人次以上。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（责任单位：区委统战部、区工商联、区发展改革局、区工业信息化和科技局；完成时限：2026年12月底）</w:t>
      </w:r>
    </w:p>
    <w:p w14:paraId="5E7C7817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27.强化重点群体就业保障。通过打造“双圈融合”服务新模式，促进高校毕业生、农村劳动力、困难人员等实现更高质量充分就业，全年实现新增城镇就业2200人。精准培育产业发展人才，赴高校及职业院校开展招聘活动4次，强化重点企业与职业院校、技工学校等就业联动。支持培训机构围绕绿色低碳、急需紧缺工种、新兴职业等领域，开展各类技能培训3000人次，精准培育产业发展急需的技能人才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（责任单位：区人力资源社会保障局；完成时限：2026年12月底）</w:t>
      </w:r>
    </w:p>
    <w:p w14:paraId="15D56739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黑体" w:cs="黑体"/>
          <w:bCs/>
          <w:sz w:val="32"/>
          <w:szCs w:val="32"/>
        </w:rPr>
        <w:t>四、加强法治环境建设</w:t>
      </w:r>
    </w:p>
    <w:p w14:paraId="11F2C10B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楷体_GB2312" w:cs="楷体_GB2312"/>
          <w:bCs/>
          <w:sz w:val="32"/>
          <w:szCs w:val="32"/>
        </w:rPr>
      </w:pPr>
      <w:r>
        <w:rPr>
          <w:rFonts w:hint="eastAsia" w:ascii="宋体" w:hAnsi="宋体" w:eastAsia="楷体_GB2312" w:cs="楷体_GB2312"/>
          <w:bCs/>
          <w:sz w:val="32"/>
          <w:szCs w:val="32"/>
        </w:rPr>
        <w:t>（一）保障各类经营主体公平竞争</w:t>
      </w:r>
    </w:p>
    <w:p w14:paraId="0D2E436F">
      <w:pPr>
        <w:overflowPunct w:val="0"/>
        <w:spacing w:line="580" w:lineRule="exact"/>
        <w:ind w:firstLine="640" w:firstLineChars="200"/>
        <w:rPr>
          <w:rFonts w:ascii="宋体" w:hAnsi="宋体" w:eastAsia="楷体_GB2312" w:cs="楷体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28.落实公平竞争审查制度。强化重大政策公平竞争审查，提升政策制定部门的风险研判能力，清理妨碍统一市场和公平竞争的政策措施。畅通投诉举报渠道，</w:t>
      </w:r>
      <w:r>
        <w:rPr>
          <w:rFonts w:ascii="宋体" w:hAnsi="宋体" w:eastAsia="仿宋_GB2312" w:cs="仿宋_GB2312"/>
          <w:bCs/>
          <w:sz w:val="32"/>
          <w:szCs w:val="32"/>
        </w:rPr>
        <w:t>严防恶意低价竞争和不当竞争</w:t>
      </w:r>
      <w:r>
        <w:rPr>
          <w:rFonts w:hint="eastAsia" w:ascii="宋体" w:hAnsi="宋体" w:eastAsia="仿宋_GB2312" w:cs="仿宋_GB2312"/>
          <w:bCs/>
          <w:sz w:val="32"/>
          <w:szCs w:val="32"/>
        </w:rPr>
        <w:t>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（责任单位：区市场监管局、区行政审批服务局；完成时限：2026年12月底）</w:t>
      </w:r>
    </w:p>
    <w:p w14:paraId="03CB12E7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29.便捷企业准入退出。严格落实“全国一张清单”管理模式，扎实推进《市场准入负面清单》落地实施。开展市场准入壁垒专项清理行动，推动商事登记“综合办、简易办、一站式”服务。畅通企业退出渠道，提高企业迁入迁出便利度，</w:t>
      </w:r>
      <w:r>
        <w:rPr>
          <w:rFonts w:ascii="宋体" w:hAnsi="宋体" w:eastAsia="仿宋_GB2312" w:cs="仿宋_GB2312"/>
          <w:bCs/>
          <w:sz w:val="32"/>
          <w:szCs w:val="32"/>
        </w:rPr>
        <w:t>深入</w:t>
      </w:r>
      <w:r>
        <w:rPr>
          <w:rFonts w:hint="eastAsia" w:ascii="宋体" w:hAnsi="宋体" w:eastAsia="仿宋_GB2312" w:cs="仿宋_GB2312"/>
          <w:bCs/>
          <w:sz w:val="32"/>
          <w:szCs w:val="32"/>
        </w:rPr>
        <w:t>推进个转企“一件事”。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（责任单位：区发展改革局、区市场监管局、区行政审批服务局；完成时限：2026年12月底）</w:t>
      </w:r>
    </w:p>
    <w:p w14:paraId="04CCF07E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30.规范政府采购与招投标。强化政府采购智慧监管，开展政府采购和招投标领域专项整治，严禁违法违规行为和差别待遇。推行政府采购联合征集，入围供应商协议期内无需重复投标，推动项目采购周期平均压缩3个工作日。严格落实政府采购项目预留中小企业份额，提高政府采购价格扣除评审优惠幅度。鼓励国企民企联合投标，推动民营企业充分参与大型工程建设竞争。大力推广远程异地评标，开展省内专家就近评审，强化与专家资源密集城市的合作，扩容远程异地评标“朋友圈”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（责任单位：区财政局、区发展改革局、区行政审批服务局；完成时限：2026年12月底）</w:t>
      </w:r>
    </w:p>
    <w:p w14:paraId="2D2EFD3E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楷体_GB2312" w:cs="楷体_GB2312"/>
          <w:bCs/>
          <w:sz w:val="32"/>
          <w:szCs w:val="32"/>
        </w:rPr>
      </w:pPr>
      <w:r>
        <w:rPr>
          <w:rFonts w:hint="eastAsia" w:ascii="宋体" w:hAnsi="宋体" w:eastAsia="楷体_GB2312" w:cs="楷体_GB2312"/>
          <w:bCs/>
          <w:sz w:val="32"/>
          <w:szCs w:val="32"/>
        </w:rPr>
        <w:t>（二）推动涉企检查“规范高效、无事不扰”</w:t>
      </w:r>
    </w:p>
    <w:p w14:paraId="16D4C011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楷体_GB2312" w:cs="楷体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31.规范涉企执法检查。开展涉企行政执法规范化建设年行动，狠纠乱检查、乱罚款、乱收费、乱查封问题。建立行政执法案例指导制度，推动“同案同办”。深化“鲁执法”平台应用和数据监测，科学管控涉企行政检查次数，强化检查审批程序，实现对涉企行政检查有效监管。年内完成执法人员培训600人次以上，提高涉企执法精准性和科学性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（责任单位：区司法局；完成时限：2026年12月底）</w:t>
      </w:r>
    </w:p>
    <w:p w14:paraId="2CC1C4A7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32.提升监管质量。推行包容审慎精准监管，严格落实“首违不罚”“轻微免罚”和济南市行政处罚“四张清单”。运用大数据、人工智能等技术拓展“非现场监管”，推动监管执法效能革新。规范整治涉企收费，依规公示政府定价管理的经营服务性收费目录清单，实现涉企收费一张清单全覆盖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（责任单位：区发展改革局、区司法局、区城管局、区市场监管局、市生态环境局钢城分局；完成时限：2026年6月底）</w:t>
      </w:r>
    </w:p>
    <w:p w14:paraId="7129D532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33.加强法治服务保障。引导各行业主管部门落实行政处罚决定书和信用修复告知书“两书同达”政策，实现具备修复条件的</w:t>
      </w:r>
      <w:bookmarkStart w:id="0" w:name="OLE_LINK1"/>
      <w:r>
        <w:rPr>
          <w:rFonts w:hint="eastAsia" w:ascii="宋体" w:hAnsi="宋体" w:eastAsia="仿宋_GB2312" w:cs="仿宋_GB2312"/>
          <w:bCs/>
          <w:sz w:val="32"/>
          <w:szCs w:val="32"/>
        </w:rPr>
        <w:t>企业</w:t>
      </w:r>
      <w:bookmarkEnd w:id="0"/>
      <w:r>
        <w:rPr>
          <w:rFonts w:hint="eastAsia" w:ascii="宋体" w:hAnsi="宋体" w:eastAsia="仿宋_GB2312" w:cs="仿宋_GB2312"/>
          <w:bCs/>
          <w:sz w:val="32"/>
          <w:szCs w:val="32"/>
        </w:rPr>
        <w:t>“应修尽修”。加大企业失信惩戒力度，建立失信信息共享机制，实现信息实时推送与惩戒协同。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（责任单位：区发展改革局、区市场监管局；完成时限：2026年6月底）</w:t>
      </w:r>
    </w:p>
    <w:p w14:paraId="5E282F1F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楷体_GB2312" w:cs="楷体_GB2312"/>
          <w:bCs/>
          <w:sz w:val="32"/>
          <w:szCs w:val="32"/>
        </w:rPr>
      </w:pPr>
      <w:r>
        <w:rPr>
          <w:rFonts w:hint="eastAsia" w:ascii="宋体" w:hAnsi="宋体" w:eastAsia="楷体_GB2312" w:cs="楷体_GB2312"/>
          <w:bCs/>
          <w:sz w:val="32"/>
          <w:szCs w:val="32"/>
        </w:rPr>
        <w:t>（三）强化知识产权保护运用</w:t>
      </w:r>
    </w:p>
    <w:p w14:paraId="3DD12418">
      <w:pPr>
        <w:overflowPunct w:val="0"/>
        <w:adjustRightInd w:val="0"/>
        <w:snapToGrid w:val="0"/>
        <w:spacing w:line="57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34.开展知识产权保护专项行动，依法打击侵权假冒行为。深化知识产权刑事、民事、行政、公益诉讼“一案四查”机制，严厉打击损害企业关键核心技术的侵犯商业秘密行为。强化法律服务收费监管，完善明码标价公示机制。探索数据知识产权融资新模式，鼓励企业开展数据知识产权存证登记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（责任单位：区司法局、区市场监管局、区检察院；完成时限：2026年12月底）</w:t>
      </w:r>
    </w:p>
    <w:p w14:paraId="2ED4C53A">
      <w:pPr>
        <w:overflowPunct w:val="0"/>
        <w:adjustRightInd w:val="0"/>
        <w:snapToGrid w:val="0"/>
        <w:spacing w:line="570" w:lineRule="exact"/>
        <w:ind w:firstLine="640" w:firstLineChars="200"/>
        <w:rPr>
          <w:rFonts w:ascii="宋体" w:hAnsi="宋体" w:eastAsia="楷体_GB2312" w:cs="楷体_GB2312"/>
          <w:bCs/>
          <w:sz w:val="32"/>
          <w:szCs w:val="32"/>
        </w:rPr>
      </w:pPr>
      <w:r>
        <w:rPr>
          <w:rFonts w:hint="eastAsia" w:ascii="宋体" w:hAnsi="宋体" w:eastAsia="楷体_GB2312" w:cs="楷体_GB2312"/>
          <w:bCs/>
          <w:sz w:val="32"/>
          <w:szCs w:val="32"/>
        </w:rPr>
        <w:t>（四）依法保护企业合法权益</w:t>
      </w:r>
    </w:p>
    <w:p w14:paraId="01C078A5">
      <w:pPr>
        <w:overflowPunct w:val="0"/>
        <w:adjustRightInd w:val="0"/>
        <w:snapToGrid w:val="0"/>
        <w:spacing w:line="57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35.治理牟利性索赔举报。探索职业索赔多维识别模型，提高非正常投诉识别精准度，依法治理职业索赔、职业举报乱象，健全“职业索赔信息名录”，建立“职业索赔信息名录”共享和应用机制，压缩职业索赔、举报牟利空间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（责任单位：区市场监管局、区司法局；完成时限：2026年12月底）</w:t>
      </w:r>
    </w:p>
    <w:p w14:paraId="03D35FE2">
      <w:pPr>
        <w:overflowPunct w:val="0"/>
        <w:spacing w:line="57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36.优化网络营商环境。优化涉企网络侵权举报联动机制，建立举报受理快速通道，严厉打击网络涉企违法违规行为。加强涉企网络舆情服务保障，及时防范化解舆情风险。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（责任单位：区委网信办、区法院、区检察院、市公安局钢城分局；完成时限：2026年12月底）</w:t>
      </w:r>
    </w:p>
    <w:p w14:paraId="502D2ADE">
      <w:pPr>
        <w:overflowPunct w:val="0"/>
        <w:adjustRightInd w:val="0"/>
        <w:snapToGrid w:val="0"/>
        <w:spacing w:line="570" w:lineRule="exact"/>
        <w:ind w:firstLine="640" w:firstLineChars="20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37.持续治理拖欠企业账款问题。落实“谁欠款，谁清偿，谁负责”原则，压实拖欠主体责任，督导政府部门及国有企业多措并举加快清偿，实现存量拖欠企业账款清单化推进解决。深化府院联动，积极开展拖欠企业账款案件专项执行行动，强化“立审执”协同配合，推动拖欠单位及时履行义务，加快办案进度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（责任单位：区工业信息化和科技局、区法院；完成时限：2026年12月底）</w:t>
      </w:r>
    </w:p>
    <w:p w14:paraId="0E4AE274">
      <w:pPr>
        <w:overflowPunct w:val="0"/>
        <w:adjustRightInd w:val="0"/>
        <w:snapToGrid w:val="0"/>
        <w:spacing w:line="570" w:lineRule="exact"/>
        <w:ind w:firstLine="640" w:firstLineChars="200"/>
        <w:rPr>
          <w:rFonts w:ascii="宋体" w:hAnsi="宋体" w:eastAsia="楷体_GB2312" w:cs="楷体_GB2312"/>
          <w:bCs/>
          <w:sz w:val="32"/>
          <w:szCs w:val="32"/>
        </w:rPr>
      </w:pPr>
      <w:r>
        <w:rPr>
          <w:rFonts w:hint="eastAsia" w:ascii="宋体" w:hAnsi="宋体" w:eastAsia="楷体_GB2312" w:cs="楷体_GB2312"/>
          <w:bCs/>
          <w:sz w:val="32"/>
          <w:szCs w:val="32"/>
        </w:rPr>
        <w:t>（五）优化商事纠纷多元化解服务</w:t>
      </w:r>
    </w:p>
    <w:p w14:paraId="19D8776C">
      <w:pPr>
        <w:overflowPunct w:val="0"/>
        <w:adjustRightInd w:val="0"/>
        <w:snapToGrid w:val="0"/>
        <w:spacing w:line="570" w:lineRule="exact"/>
        <w:ind w:firstLine="640" w:firstLineChars="200"/>
        <w:rPr>
          <w:rFonts w:ascii="宋体" w:hAnsi="宋体" w:eastAsia="楷体_GB2312" w:cs="楷体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38.强化非诉讼纠纷解决机制优先适用。依托综治中心规范化建设，采取8个涉访重点部门常驻、12个部门轮驻的运行模式，推动涉企及邻里纠纷就近受理、就地调处、闭环处置。培育发展钢城区知识产权纠纷人民调解委员会等6个行业性、专业性调解组织，提升矛盾纠纷化解能力。建立矛盾纠纷联合调处机制，整合公证等非诉讼纠纷解决资源，充分发挥诉前调解职能，推动诉源治理提质增效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（责任单位：区委政法委、区司法局、区法院；完成时限：2026年12月底）</w:t>
      </w:r>
    </w:p>
    <w:p w14:paraId="5649932A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楷体_GB2312" w:cs="楷体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39.提升涉企司法效能。规范财产保全案件办理流程，严禁超诉讼标的查封，最大限度降低司法强制措施对企业正常生产经营活动的影响。协同开展“示范性诉讼＋批量化调解”，选取代表性案件先行示范调解或审判，并以其结果指导同类纠纷高效调解，促推源头化解。深化民商事案件繁简分流，对标的额小、事实清楚的涉企案件，推行“调解＋速裁＋快执”模式。</w:t>
      </w:r>
      <w:r>
        <w:rPr>
          <w:rFonts w:hint="eastAsia" w:ascii="宋体" w:hAnsi="宋体" w:eastAsia="楷体_GB2312" w:cs="楷体_GB2312"/>
          <w:bCs/>
          <w:sz w:val="32"/>
          <w:szCs w:val="32"/>
        </w:rPr>
        <w:t>（责任单位：区法院；完成时限：2026年12月底）</w:t>
      </w:r>
    </w:p>
    <w:p w14:paraId="7C124FF7">
      <w:pPr>
        <w:overflowPunct w:val="0"/>
        <w:adjustRightInd w:val="0"/>
        <w:snapToGrid w:val="0"/>
        <w:spacing w:line="580" w:lineRule="exact"/>
        <w:ind w:firstLine="640" w:firstLineChars="200"/>
        <w:rPr>
          <w:rFonts w:ascii="宋体" w:hAnsi="宋体" w:eastAsia="楷体_GB2312" w:cs="楷体_GB2312"/>
          <w:bCs/>
          <w:sz w:val="32"/>
          <w:szCs w:val="32"/>
        </w:rPr>
      </w:pPr>
    </w:p>
    <w:p w14:paraId="7D9A38AD">
      <w:pPr>
        <w:overflowPunct w:val="0"/>
        <w:spacing w:line="616" w:lineRule="exact"/>
        <w:ind w:firstLine="640"/>
        <w:rPr>
          <w:rFonts w:ascii="宋体" w:hAnsi="宋体" w:eastAsia="仿宋_GB2312" w:cs="仿宋_GB2312"/>
          <w:bCs/>
          <w:sz w:val="32"/>
          <w:szCs w:val="32"/>
        </w:rPr>
      </w:pPr>
      <w:r>
        <w:rPr>
          <w:rFonts w:hint="eastAsia" w:ascii="宋体" w:hAnsi="宋体" w:eastAsia="仿宋_GB2312" w:cs="仿宋_GB2312"/>
          <w:bCs/>
          <w:sz w:val="32"/>
          <w:szCs w:val="32"/>
        </w:rPr>
        <w:t>附件：钢城区优化营商环境创新提升行动工作方案措施清单</w:t>
      </w:r>
    </w:p>
    <w:p w14:paraId="76C951BA">
      <w:pPr>
        <w:overflowPunct w:val="0"/>
        <w:spacing w:line="616" w:lineRule="exact"/>
        <w:ind w:firstLine="640"/>
        <w:rPr>
          <w:rFonts w:ascii="宋体" w:hAnsi="宋体" w:eastAsia="仿宋_GB2312" w:cs="仿宋_GB2312"/>
          <w:bCs/>
          <w:sz w:val="32"/>
          <w:szCs w:val="32"/>
        </w:rPr>
      </w:pPr>
    </w:p>
    <w:p w14:paraId="381BB92A">
      <w:pPr>
        <w:overflowPunct w:val="0"/>
        <w:spacing w:line="616" w:lineRule="exact"/>
        <w:ind w:firstLine="640"/>
        <w:rPr>
          <w:rFonts w:ascii="宋体" w:hAnsi="宋体" w:eastAsia="仿宋_GB2312" w:cs="仿宋_GB2312"/>
          <w:bCs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985" w:right="1474" w:bottom="1701" w:left="1474" w:header="851" w:footer="1406" w:gutter="0"/>
          <w:cols w:space="425" w:num="1"/>
          <w:docGrid w:type="lines" w:linePitch="312" w:charSpace="0"/>
        </w:sectPr>
      </w:pPr>
    </w:p>
    <w:p w14:paraId="78757A3F">
      <w:pPr>
        <w:pStyle w:val="9"/>
        <w:overflowPunct w:val="0"/>
        <w:spacing w:line="600" w:lineRule="exact"/>
        <w:ind w:firstLine="0" w:firstLineChars="0"/>
        <w:rPr>
          <w:rFonts w:ascii="宋体" w:hAnsi="宋体" w:eastAsia="黑体" w:cs="黑体"/>
          <w:bCs/>
          <w:sz w:val="32"/>
        </w:rPr>
      </w:pPr>
      <w:r>
        <w:rPr>
          <w:rFonts w:hint="eastAsia" w:ascii="宋体" w:hAnsi="宋体" w:eastAsia="黑体" w:cs="黑体"/>
          <w:bCs/>
          <w:sz w:val="32"/>
        </w:rPr>
        <w:t>附件</w:t>
      </w:r>
    </w:p>
    <w:p w14:paraId="3D3A2ADB">
      <w:pPr>
        <w:pStyle w:val="9"/>
        <w:overflowPunct w:val="0"/>
        <w:spacing w:line="600" w:lineRule="exact"/>
        <w:ind w:firstLine="0" w:firstLineChars="0"/>
        <w:rPr>
          <w:rFonts w:ascii="宋体" w:hAnsi="宋体" w:eastAsia="黑体" w:cs="黑体"/>
          <w:bCs/>
          <w:sz w:val="32"/>
        </w:rPr>
      </w:pPr>
    </w:p>
    <w:p w14:paraId="49407E85">
      <w:pPr>
        <w:pStyle w:val="9"/>
        <w:overflowPunct w:val="0"/>
        <w:ind w:firstLine="0" w:firstLineChars="0"/>
        <w:jc w:val="center"/>
        <w:rPr>
          <w:rFonts w:ascii="宋体" w:hAnsi="宋体" w:eastAsia="方正小标宋简体" w:cs="方正小标宋简体"/>
          <w:bCs/>
          <w:sz w:val="44"/>
          <w:szCs w:val="44"/>
        </w:rPr>
      </w:pPr>
      <w:r>
        <w:rPr>
          <w:rFonts w:hint="eastAsia" w:ascii="宋体" w:hAnsi="宋体" w:eastAsia="方正小标宋简体" w:cs="方正小标宋简体"/>
          <w:bCs/>
          <w:sz w:val="44"/>
          <w:szCs w:val="44"/>
        </w:rPr>
        <w:t>钢城区优化营商环境创新提升行动工作方案措施清单</w:t>
      </w:r>
    </w:p>
    <w:p w14:paraId="13FA6A1D">
      <w:pPr>
        <w:overflowPunct w:val="0"/>
        <w:spacing w:line="616" w:lineRule="exact"/>
        <w:ind w:firstLine="640"/>
        <w:jc w:val="left"/>
        <w:rPr>
          <w:rFonts w:ascii="宋体" w:hAnsi="宋体" w:eastAsia="仿宋_GB2312" w:cs="仿宋_GB2312"/>
          <w:sz w:val="32"/>
          <w:szCs w:val="32"/>
        </w:rPr>
      </w:pPr>
    </w:p>
    <w:tbl>
      <w:tblPr>
        <w:tblStyle w:val="5"/>
        <w:tblW w:w="1317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18"/>
        <w:gridCol w:w="992"/>
        <w:gridCol w:w="1134"/>
        <w:gridCol w:w="6360"/>
        <w:gridCol w:w="1843"/>
        <w:gridCol w:w="2126"/>
      </w:tblGrid>
      <w:tr w14:paraId="60933C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29" w:hRule="atLeast"/>
          <w:tblHeader/>
          <w:jc w:val="center"/>
        </w:trPr>
        <w:tc>
          <w:tcPr>
            <w:tcW w:w="718" w:type="dxa"/>
            <w:vAlign w:val="center"/>
          </w:tcPr>
          <w:p w14:paraId="3C490EFE">
            <w:pPr>
              <w:widowControl/>
              <w:overflowPunct w:val="0"/>
              <w:adjustRightInd w:val="0"/>
              <w:snapToGrid w:val="0"/>
              <w:jc w:val="center"/>
              <w:rPr>
                <w:rFonts w:ascii="宋体" w:hAnsi="宋体" w:eastAsia="黑体"/>
                <w:kern w:val="0"/>
                <w:sz w:val="24"/>
              </w:rPr>
            </w:pPr>
            <w:r>
              <w:rPr>
                <w:rFonts w:hint="eastAsia" w:ascii="宋体" w:hAnsi="宋体" w:eastAsia="黑体"/>
                <w:kern w:val="0"/>
                <w:sz w:val="24"/>
              </w:rPr>
              <w:t>序号</w:t>
            </w:r>
          </w:p>
        </w:tc>
        <w:tc>
          <w:tcPr>
            <w:tcW w:w="992" w:type="dxa"/>
            <w:vAlign w:val="center"/>
          </w:tcPr>
          <w:p w14:paraId="7DE447E4">
            <w:pPr>
              <w:widowControl/>
              <w:overflowPunct w:val="0"/>
              <w:adjustRightInd w:val="0"/>
              <w:snapToGrid w:val="0"/>
              <w:jc w:val="center"/>
              <w:rPr>
                <w:rFonts w:ascii="宋体" w:hAnsi="宋体" w:eastAsia="黑体"/>
                <w:kern w:val="0"/>
                <w:sz w:val="24"/>
              </w:rPr>
            </w:pPr>
            <w:r>
              <w:rPr>
                <w:rFonts w:hint="eastAsia" w:ascii="宋体" w:hAnsi="宋体" w:eastAsia="黑体"/>
                <w:kern w:val="0"/>
                <w:sz w:val="24"/>
              </w:rPr>
              <w:t>目标</w:t>
            </w:r>
          </w:p>
        </w:tc>
        <w:tc>
          <w:tcPr>
            <w:tcW w:w="1134" w:type="dxa"/>
            <w:vAlign w:val="center"/>
          </w:tcPr>
          <w:p w14:paraId="7CC4DD57">
            <w:pPr>
              <w:widowControl/>
              <w:overflowPunct w:val="0"/>
              <w:adjustRightInd w:val="0"/>
              <w:snapToGrid w:val="0"/>
              <w:jc w:val="center"/>
              <w:rPr>
                <w:rFonts w:ascii="宋体" w:hAnsi="宋体" w:eastAsia="黑体"/>
                <w:kern w:val="0"/>
                <w:sz w:val="24"/>
              </w:rPr>
            </w:pPr>
            <w:r>
              <w:rPr>
                <w:rFonts w:hint="eastAsia" w:ascii="宋体" w:hAnsi="宋体" w:eastAsia="黑体"/>
                <w:kern w:val="0"/>
                <w:sz w:val="24"/>
              </w:rPr>
              <w:t>任务</w:t>
            </w:r>
          </w:p>
        </w:tc>
        <w:tc>
          <w:tcPr>
            <w:tcW w:w="6360" w:type="dxa"/>
            <w:vAlign w:val="center"/>
          </w:tcPr>
          <w:p w14:paraId="4901ECF5">
            <w:pPr>
              <w:widowControl/>
              <w:overflowPunct w:val="0"/>
              <w:adjustRightInd w:val="0"/>
              <w:snapToGrid w:val="0"/>
              <w:jc w:val="center"/>
              <w:rPr>
                <w:rFonts w:ascii="宋体" w:hAnsi="宋体" w:eastAsia="黑体"/>
                <w:kern w:val="0"/>
                <w:sz w:val="24"/>
              </w:rPr>
            </w:pPr>
            <w:r>
              <w:rPr>
                <w:rFonts w:hint="eastAsia" w:ascii="宋体" w:hAnsi="宋体" w:eastAsia="黑体"/>
                <w:kern w:val="0"/>
                <w:sz w:val="24"/>
              </w:rPr>
              <w:t>具体措施</w:t>
            </w:r>
          </w:p>
        </w:tc>
        <w:tc>
          <w:tcPr>
            <w:tcW w:w="1843" w:type="dxa"/>
            <w:vAlign w:val="center"/>
          </w:tcPr>
          <w:p w14:paraId="10459410">
            <w:pPr>
              <w:widowControl/>
              <w:overflowPunct w:val="0"/>
              <w:adjustRightInd w:val="0"/>
              <w:snapToGrid w:val="0"/>
              <w:jc w:val="center"/>
              <w:rPr>
                <w:rFonts w:ascii="宋体" w:hAnsi="宋体" w:eastAsia="黑体"/>
                <w:kern w:val="0"/>
                <w:sz w:val="24"/>
              </w:rPr>
            </w:pPr>
            <w:r>
              <w:rPr>
                <w:rFonts w:hint="eastAsia" w:ascii="宋体" w:hAnsi="宋体" w:eastAsia="黑体"/>
                <w:kern w:val="0"/>
                <w:sz w:val="24"/>
              </w:rPr>
              <w:t>完成时限</w:t>
            </w:r>
          </w:p>
        </w:tc>
        <w:tc>
          <w:tcPr>
            <w:tcW w:w="2126" w:type="dxa"/>
            <w:vAlign w:val="center"/>
          </w:tcPr>
          <w:p w14:paraId="2298A523">
            <w:pPr>
              <w:widowControl/>
              <w:overflowPunct w:val="0"/>
              <w:adjustRightInd w:val="0"/>
              <w:snapToGrid w:val="0"/>
              <w:jc w:val="center"/>
              <w:rPr>
                <w:rFonts w:ascii="宋体" w:hAnsi="宋体" w:eastAsia="黑体"/>
                <w:kern w:val="0"/>
                <w:sz w:val="24"/>
              </w:rPr>
            </w:pPr>
            <w:r>
              <w:rPr>
                <w:rFonts w:hint="eastAsia" w:ascii="宋体" w:hAnsi="宋体" w:eastAsia="黑体"/>
                <w:kern w:val="0"/>
                <w:sz w:val="24"/>
              </w:rPr>
              <w:t>责任单位</w:t>
            </w:r>
          </w:p>
        </w:tc>
      </w:tr>
      <w:tr w14:paraId="6F3E52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40" w:hRule="atLeast"/>
          <w:jc w:val="center"/>
        </w:trPr>
        <w:tc>
          <w:tcPr>
            <w:tcW w:w="718" w:type="dxa"/>
            <w:vAlign w:val="center"/>
          </w:tcPr>
          <w:p w14:paraId="5DFD2994">
            <w:pPr>
              <w:spacing w:line="280" w:lineRule="exact"/>
              <w:ind w:left="454" w:hanging="454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71F6F94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bookmarkStart w:id="1" w:name="OLE_LINK6"/>
            <w:bookmarkStart w:id="2" w:name="OLE_LINK7"/>
            <w:r>
              <w:rPr>
                <w:rFonts w:hint="eastAsia" w:ascii="宋体" w:hAnsi="宋体" w:eastAsia="仿宋_GB2312" w:cs="仿宋_GB2312"/>
                <w:bCs/>
                <w:sz w:val="24"/>
              </w:rPr>
              <w:t>推动政务服务智慧好办</w:t>
            </w:r>
            <w:bookmarkEnd w:id="1"/>
            <w:bookmarkEnd w:id="2"/>
          </w:p>
        </w:tc>
        <w:tc>
          <w:tcPr>
            <w:tcW w:w="1134" w:type="dxa"/>
            <w:vMerge w:val="restart"/>
            <w:vAlign w:val="center"/>
          </w:tcPr>
          <w:p w14:paraId="064923E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推进关联事项集成办</w:t>
            </w:r>
          </w:p>
        </w:tc>
        <w:tc>
          <w:tcPr>
            <w:tcW w:w="6360" w:type="dxa"/>
            <w:vAlign w:val="center"/>
          </w:tcPr>
          <w:p w14:paraId="6F53CD19">
            <w:pPr>
              <w:spacing w:line="28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完善“高效办成一件事”常态化运行机制，推动业务集成办理与流程优化，统筹抓好国家和省、市重点事项在我区落实落细。</w:t>
            </w:r>
          </w:p>
        </w:tc>
        <w:tc>
          <w:tcPr>
            <w:tcW w:w="1843" w:type="dxa"/>
            <w:vAlign w:val="center"/>
          </w:tcPr>
          <w:p w14:paraId="0AE2592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4C518BF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区行政审批服务局</w:t>
            </w:r>
          </w:p>
        </w:tc>
      </w:tr>
      <w:tr w14:paraId="63041B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30" w:hRule="atLeast"/>
          <w:jc w:val="center"/>
        </w:trPr>
        <w:tc>
          <w:tcPr>
            <w:tcW w:w="718" w:type="dxa"/>
            <w:vAlign w:val="center"/>
          </w:tcPr>
          <w:p w14:paraId="1E801373">
            <w:pPr>
              <w:overflowPunct w:val="0"/>
              <w:spacing w:line="280" w:lineRule="exact"/>
              <w:ind w:left="454" w:hanging="454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2</w:t>
            </w:r>
          </w:p>
        </w:tc>
        <w:tc>
          <w:tcPr>
            <w:tcW w:w="992" w:type="dxa"/>
            <w:vMerge w:val="continue"/>
          </w:tcPr>
          <w:p w14:paraId="3822556B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A16859D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6C46BF2B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开展集中宣传月活动，提升企业群众对“一件事”的知晓度。强化已上线重点事项成效评价反馈，开展运行成效测试、“我陪群众走流程”等活动，不断提升“一件事”办理质效。</w:t>
            </w:r>
          </w:p>
        </w:tc>
        <w:tc>
          <w:tcPr>
            <w:tcW w:w="1843" w:type="dxa"/>
            <w:vAlign w:val="center"/>
          </w:tcPr>
          <w:p w14:paraId="51382EEB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61098E8A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区行政审批服务局</w:t>
            </w:r>
          </w:p>
        </w:tc>
      </w:tr>
      <w:tr w14:paraId="02EA31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90" w:hRule="atLeast"/>
          <w:jc w:val="center"/>
        </w:trPr>
        <w:tc>
          <w:tcPr>
            <w:tcW w:w="718" w:type="dxa"/>
            <w:vAlign w:val="center"/>
          </w:tcPr>
          <w:p w14:paraId="59932966">
            <w:pPr>
              <w:overflowPunct w:val="0"/>
              <w:spacing w:line="280" w:lineRule="exact"/>
              <w:ind w:left="454" w:hanging="454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3</w:t>
            </w:r>
          </w:p>
        </w:tc>
        <w:tc>
          <w:tcPr>
            <w:tcW w:w="992" w:type="dxa"/>
            <w:vMerge w:val="continue"/>
          </w:tcPr>
          <w:p w14:paraId="004BAB0B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621E4A9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3DFECEBF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密切跟进国家2025年度第二批及2026年度第一批重点事项进展，按照省、市统一部署及时推动在我区实施。</w:t>
            </w:r>
          </w:p>
        </w:tc>
        <w:tc>
          <w:tcPr>
            <w:tcW w:w="1843" w:type="dxa"/>
            <w:vAlign w:val="center"/>
          </w:tcPr>
          <w:p w14:paraId="6D0560E1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07C33A19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区行政审批服务局</w:t>
            </w:r>
          </w:p>
        </w:tc>
      </w:tr>
      <w:tr w14:paraId="2A4A00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98" w:hRule="atLeast"/>
          <w:jc w:val="center"/>
        </w:trPr>
        <w:tc>
          <w:tcPr>
            <w:tcW w:w="718" w:type="dxa"/>
            <w:vAlign w:val="center"/>
          </w:tcPr>
          <w:p w14:paraId="2988D3CC">
            <w:pPr>
              <w:overflowPunct w:val="0"/>
              <w:spacing w:line="280" w:lineRule="exact"/>
              <w:ind w:left="454" w:hanging="454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4</w:t>
            </w:r>
          </w:p>
        </w:tc>
        <w:tc>
          <w:tcPr>
            <w:tcW w:w="992" w:type="dxa"/>
            <w:vMerge w:val="continue"/>
          </w:tcPr>
          <w:p w14:paraId="095B4FE5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68B92DEC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41A1FBDE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创新推出经营发展、工程建设、就业生活等领域具有钢城特色的“一件事”集成服务场景。12月底前，配合市局推动定制客运、开办驾校等市级“一件事”服务场景落地运行。</w:t>
            </w:r>
          </w:p>
        </w:tc>
        <w:tc>
          <w:tcPr>
            <w:tcW w:w="1843" w:type="dxa"/>
            <w:vAlign w:val="center"/>
          </w:tcPr>
          <w:p w14:paraId="73FB3B58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2A12F2D0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区行政审批服务局</w:t>
            </w:r>
          </w:p>
        </w:tc>
      </w:tr>
      <w:tr w14:paraId="0D8648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83" w:hRule="atLeast"/>
          <w:jc w:val="center"/>
        </w:trPr>
        <w:tc>
          <w:tcPr>
            <w:tcW w:w="718" w:type="dxa"/>
            <w:vAlign w:val="center"/>
          </w:tcPr>
          <w:p w14:paraId="515E7736">
            <w:pPr>
              <w:overflowPunct w:val="0"/>
              <w:spacing w:line="280" w:lineRule="exact"/>
              <w:ind w:left="454" w:hanging="454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5</w:t>
            </w:r>
          </w:p>
        </w:tc>
        <w:tc>
          <w:tcPr>
            <w:tcW w:w="992" w:type="dxa"/>
            <w:vMerge w:val="continue"/>
          </w:tcPr>
          <w:p w14:paraId="3B0F7557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1CC1FD2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推进高频事项智慧办</w:t>
            </w:r>
          </w:p>
        </w:tc>
        <w:tc>
          <w:tcPr>
            <w:tcW w:w="6360" w:type="dxa"/>
            <w:vAlign w:val="center"/>
          </w:tcPr>
          <w:p w14:paraId="3D47A6D5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持续提升政务服务水平，构建全区协同的政务服务数据赋能体系，实现更大范围、更深层次的“网络通、数据通、业务通”。</w:t>
            </w:r>
          </w:p>
        </w:tc>
        <w:tc>
          <w:tcPr>
            <w:tcW w:w="1843" w:type="dxa"/>
            <w:vAlign w:val="center"/>
          </w:tcPr>
          <w:p w14:paraId="6E452D9D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2B594971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区行政审批服务局</w:t>
            </w:r>
          </w:p>
        </w:tc>
      </w:tr>
      <w:tr w14:paraId="5C5614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95" w:hRule="atLeast"/>
          <w:jc w:val="center"/>
        </w:trPr>
        <w:tc>
          <w:tcPr>
            <w:tcW w:w="718" w:type="dxa"/>
            <w:vAlign w:val="center"/>
          </w:tcPr>
          <w:p w14:paraId="6B58232E">
            <w:pPr>
              <w:overflowPunct w:val="0"/>
              <w:spacing w:line="280" w:lineRule="exact"/>
              <w:ind w:left="454" w:hanging="454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6</w:t>
            </w:r>
          </w:p>
        </w:tc>
        <w:tc>
          <w:tcPr>
            <w:tcW w:w="992" w:type="dxa"/>
            <w:vMerge w:val="continue"/>
          </w:tcPr>
          <w:p w14:paraId="6B3BC5B8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A407F3D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52642445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推动“云大厅”建设，集成远程视频帮办、在线咨询等功能，提供“不见面”“零跑腿”的智慧化服务体验。</w:t>
            </w:r>
          </w:p>
        </w:tc>
        <w:tc>
          <w:tcPr>
            <w:tcW w:w="1843" w:type="dxa"/>
            <w:vAlign w:val="center"/>
          </w:tcPr>
          <w:p w14:paraId="07A975C7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56C63F4A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区行政审批服务局</w:t>
            </w:r>
          </w:p>
        </w:tc>
      </w:tr>
      <w:tr w14:paraId="7BEB96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49" w:hRule="atLeast"/>
          <w:jc w:val="center"/>
        </w:trPr>
        <w:tc>
          <w:tcPr>
            <w:tcW w:w="718" w:type="dxa"/>
            <w:vAlign w:val="center"/>
          </w:tcPr>
          <w:p w14:paraId="7EA70C89">
            <w:pPr>
              <w:overflowPunct w:val="0"/>
              <w:spacing w:line="280" w:lineRule="exact"/>
              <w:ind w:left="454" w:hanging="454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7</w:t>
            </w:r>
          </w:p>
        </w:tc>
        <w:tc>
          <w:tcPr>
            <w:tcW w:w="992" w:type="dxa"/>
            <w:vMerge w:val="continue"/>
            <w:vAlign w:val="center"/>
          </w:tcPr>
          <w:p w14:paraId="017CC304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BC046D5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339C503C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推进“E企通·全档智管”平台建设和应用推广，助力企业电子信息管理使用。</w:t>
            </w:r>
          </w:p>
        </w:tc>
        <w:tc>
          <w:tcPr>
            <w:tcW w:w="1843" w:type="dxa"/>
            <w:vAlign w:val="center"/>
          </w:tcPr>
          <w:p w14:paraId="142D009D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2026年6月底</w:t>
            </w:r>
          </w:p>
        </w:tc>
        <w:tc>
          <w:tcPr>
            <w:tcW w:w="2126" w:type="dxa"/>
            <w:vAlign w:val="center"/>
          </w:tcPr>
          <w:p w14:paraId="56FC31FD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区行政审批服务局</w:t>
            </w:r>
          </w:p>
        </w:tc>
      </w:tr>
      <w:tr w14:paraId="0470D6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99" w:hRule="atLeast"/>
          <w:jc w:val="center"/>
        </w:trPr>
        <w:tc>
          <w:tcPr>
            <w:tcW w:w="718" w:type="dxa"/>
            <w:vAlign w:val="center"/>
          </w:tcPr>
          <w:p w14:paraId="70F113B4">
            <w:pPr>
              <w:spacing w:line="280" w:lineRule="exact"/>
              <w:ind w:left="454" w:hanging="454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25374140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推动政务服务智慧好办</w:t>
            </w:r>
          </w:p>
        </w:tc>
        <w:tc>
          <w:tcPr>
            <w:tcW w:w="1134" w:type="dxa"/>
            <w:vMerge w:val="restart"/>
            <w:vAlign w:val="center"/>
          </w:tcPr>
          <w:p w14:paraId="467FAC4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推进线上线下融合办</w:t>
            </w:r>
          </w:p>
        </w:tc>
        <w:tc>
          <w:tcPr>
            <w:tcW w:w="6360" w:type="dxa"/>
            <w:vAlign w:val="center"/>
          </w:tcPr>
          <w:p w14:paraId="50D0FF16">
            <w:pPr>
              <w:spacing w:line="28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持续开展政务服务事项上网运行工作，提升网上运行贯通率。推动更多政务服务事项纳入各级政务服务场所集中办理，实现政务事项跨层级、跨区域受理帮办。</w:t>
            </w:r>
          </w:p>
        </w:tc>
        <w:tc>
          <w:tcPr>
            <w:tcW w:w="1843" w:type="dxa"/>
            <w:vAlign w:val="center"/>
          </w:tcPr>
          <w:p w14:paraId="6F2D132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2673E2D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区行政审批服务局、各街道（功能区）</w:t>
            </w:r>
          </w:p>
        </w:tc>
      </w:tr>
      <w:tr w14:paraId="651E33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40" w:hRule="atLeast"/>
          <w:jc w:val="center"/>
        </w:trPr>
        <w:tc>
          <w:tcPr>
            <w:tcW w:w="718" w:type="dxa"/>
            <w:vAlign w:val="center"/>
          </w:tcPr>
          <w:p w14:paraId="7ED58608">
            <w:pPr>
              <w:overflowPunct w:val="0"/>
              <w:spacing w:line="280" w:lineRule="exact"/>
              <w:ind w:left="454" w:hanging="454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9</w:t>
            </w:r>
          </w:p>
        </w:tc>
        <w:tc>
          <w:tcPr>
            <w:tcW w:w="992" w:type="dxa"/>
            <w:vMerge w:val="continue"/>
          </w:tcPr>
          <w:p w14:paraId="3F7C9775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12FE4CB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06754A71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以标准化、规范化、便利化为导向，推动区、街道、社区（村）三级政务服务场所标准化建设。开展基层政务服务事项标准化提升，因地制宜推广“一专多能”服务模式，提升企业群众办事便利度。</w:t>
            </w:r>
          </w:p>
        </w:tc>
        <w:tc>
          <w:tcPr>
            <w:tcW w:w="1843" w:type="dxa"/>
            <w:vAlign w:val="center"/>
          </w:tcPr>
          <w:p w14:paraId="20F7E35E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2026年6月底</w:t>
            </w:r>
          </w:p>
        </w:tc>
        <w:tc>
          <w:tcPr>
            <w:tcW w:w="2126" w:type="dxa"/>
            <w:vAlign w:val="center"/>
          </w:tcPr>
          <w:p w14:paraId="39A9D3E3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区行政审批服务局、各街道（功能区）</w:t>
            </w:r>
          </w:p>
        </w:tc>
      </w:tr>
      <w:tr w14:paraId="4437EF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34" w:hRule="atLeast"/>
          <w:jc w:val="center"/>
        </w:trPr>
        <w:tc>
          <w:tcPr>
            <w:tcW w:w="718" w:type="dxa"/>
            <w:vAlign w:val="center"/>
          </w:tcPr>
          <w:p w14:paraId="38C17B28">
            <w:pPr>
              <w:overflowPunct w:val="0"/>
              <w:spacing w:line="280" w:lineRule="exact"/>
              <w:ind w:left="454" w:hanging="454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10</w:t>
            </w:r>
          </w:p>
        </w:tc>
        <w:tc>
          <w:tcPr>
            <w:tcW w:w="992" w:type="dxa"/>
            <w:vMerge w:val="continue"/>
          </w:tcPr>
          <w:p w14:paraId="57BA17F8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BAD68EB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10A26F84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做强做优基层帮办代办服务，丰富“帮代办”“上门办”“预约办”等服务形式。合理布局和升级政务服务自助终端，实现更多高频服务事项“就近办”“自助办”。</w:t>
            </w:r>
          </w:p>
        </w:tc>
        <w:tc>
          <w:tcPr>
            <w:tcW w:w="1843" w:type="dxa"/>
            <w:vAlign w:val="center"/>
          </w:tcPr>
          <w:p w14:paraId="76154867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622E984F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区行政审批服务局、各街道（功能区）</w:t>
            </w:r>
          </w:p>
        </w:tc>
      </w:tr>
      <w:tr w14:paraId="6763B5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779" w:hRule="atLeast"/>
          <w:jc w:val="center"/>
        </w:trPr>
        <w:tc>
          <w:tcPr>
            <w:tcW w:w="718" w:type="dxa"/>
            <w:vAlign w:val="center"/>
          </w:tcPr>
          <w:p w14:paraId="49499263">
            <w:pPr>
              <w:spacing w:line="280" w:lineRule="exact"/>
              <w:ind w:left="454" w:hanging="454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11</w:t>
            </w:r>
          </w:p>
        </w:tc>
        <w:tc>
          <w:tcPr>
            <w:tcW w:w="992" w:type="dxa"/>
            <w:vMerge w:val="restart"/>
            <w:vAlign w:val="center"/>
          </w:tcPr>
          <w:p w14:paraId="109F198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实现政企沟通高效便捷</w:t>
            </w:r>
          </w:p>
        </w:tc>
        <w:tc>
          <w:tcPr>
            <w:tcW w:w="1134" w:type="dxa"/>
            <w:vMerge w:val="restart"/>
            <w:vAlign w:val="center"/>
          </w:tcPr>
          <w:p w14:paraId="28B831B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完善常态化政企沟通机制</w:t>
            </w:r>
          </w:p>
        </w:tc>
        <w:tc>
          <w:tcPr>
            <w:tcW w:w="6360" w:type="dxa"/>
            <w:vAlign w:val="center"/>
          </w:tcPr>
          <w:p w14:paraId="0D8330DC">
            <w:pPr>
              <w:spacing w:line="28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持续优化区领导联系重点企业、常态化政企座谈等制度，健全涉企决策沟通机制，将征求重点企业、行业商协会意见作为重大涉企政策制定、重大产业项目实施的必要前置环节，探索“营商环境全民体验官”和中小企业“季度恳谈会”等措施，注重发挥人大代表、政协委员以及商协会等的作用。</w:t>
            </w:r>
          </w:p>
        </w:tc>
        <w:tc>
          <w:tcPr>
            <w:tcW w:w="1843" w:type="dxa"/>
            <w:vAlign w:val="center"/>
          </w:tcPr>
          <w:p w14:paraId="6CE705F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28FE59E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区发展改革局、区工业信息化和科技局、区行政审批服务局、各街道（功能区）</w:t>
            </w:r>
          </w:p>
        </w:tc>
      </w:tr>
      <w:tr w14:paraId="233E8A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87" w:hRule="atLeast"/>
          <w:jc w:val="center"/>
        </w:trPr>
        <w:tc>
          <w:tcPr>
            <w:tcW w:w="718" w:type="dxa"/>
            <w:vAlign w:val="center"/>
          </w:tcPr>
          <w:p w14:paraId="6BAE6CB7">
            <w:pPr>
              <w:overflowPunct w:val="0"/>
              <w:spacing w:line="280" w:lineRule="exact"/>
              <w:ind w:left="454" w:hanging="454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12</w:t>
            </w:r>
          </w:p>
        </w:tc>
        <w:tc>
          <w:tcPr>
            <w:tcW w:w="992" w:type="dxa"/>
            <w:vMerge w:val="continue"/>
          </w:tcPr>
          <w:p w14:paraId="7DB7F3CF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8CBBA0A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3E85804A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整合区内“泉惠企”企业服务站和企业服务队资源，定期开展服务企业活动。</w:t>
            </w:r>
          </w:p>
        </w:tc>
        <w:tc>
          <w:tcPr>
            <w:tcW w:w="1843" w:type="dxa"/>
            <w:vAlign w:val="center"/>
          </w:tcPr>
          <w:p w14:paraId="735F134F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5EE5D770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区行政审批服务局、各街道（功能区）</w:t>
            </w:r>
          </w:p>
        </w:tc>
      </w:tr>
      <w:tr w14:paraId="74DDA4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474" w:hRule="atLeast"/>
          <w:jc w:val="center"/>
        </w:trPr>
        <w:tc>
          <w:tcPr>
            <w:tcW w:w="718" w:type="dxa"/>
            <w:vAlign w:val="center"/>
          </w:tcPr>
          <w:p w14:paraId="3418EA97">
            <w:pPr>
              <w:overflowPunct w:val="0"/>
              <w:spacing w:line="280" w:lineRule="exact"/>
              <w:ind w:left="454" w:hanging="454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13</w:t>
            </w:r>
          </w:p>
        </w:tc>
        <w:tc>
          <w:tcPr>
            <w:tcW w:w="992" w:type="dxa"/>
            <w:vMerge w:val="continue"/>
          </w:tcPr>
          <w:p w14:paraId="744365F9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6C8D845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多种方式开展企业走访</w:t>
            </w:r>
          </w:p>
        </w:tc>
        <w:tc>
          <w:tcPr>
            <w:tcW w:w="6360" w:type="dxa"/>
            <w:vAlign w:val="center"/>
          </w:tcPr>
          <w:p w14:paraId="7C3C275D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加强与企业的沟通联系，在持续开展“千企万户大走访”活动的基础上继续扩大辖区企业走访覆盖面，加强对各企业经营情况的了解和问题诉求的征集，积极帮助企业纾困解难，助力企业发展壮大。</w:t>
            </w:r>
          </w:p>
        </w:tc>
        <w:tc>
          <w:tcPr>
            <w:tcW w:w="1843" w:type="dxa"/>
            <w:vAlign w:val="center"/>
          </w:tcPr>
          <w:p w14:paraId="78BE4DBE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057EBE48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区发展改革局</w:t>
            </w:r>
          </w:p>
        </w:tc>
      </w:tr>
      <w:tr w14:paraId="5649C8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566" w:hRule="atLeast"/>
          <w:jc w:val="center"/>
        </w:trPr>
        <w:tc>
          <w:tcPr>
            <w:tcW w:w="718" w:type="dxa"/>
            <w:vAlign w:val="center"/>
          </w:tcPr>
          <w:p w14:paraId="47ACB999">
            <w:pPr>
              <w:spacing w:line="280" w:lineRule="exact"/>
              <w:ind w:left="454" w:hanging="454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14</w:t>
            </w:r>
          </w:p>
        </w:tc>
        <w:tc>
          <w:tcPr>
            <w:tcW w:w="992" w:type="dxa"/>
            <w:vMerge w:val="restart"/>
            <w:vAlign w:val="center"/>
          </w:tcPr>
          <w:p w14:paraId="2D62F24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实现政企沟通高效便捷</w:t>
            </w:r>
          </w:p>
        </w:tc>
        <w:tc>
          <w:tcPr>
            <w:tcW w:w="1134" w:type="dxa"/>
            <w:vMerge w:val="restart"/>
            <w:vAlign w:val="center"/>
          </w:tcPr>
          <w:p w14:paraId="5733E45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提升诉求解决效率</w:t>
            </w:r>
          </w:p>
        </w:tc>
        <w:tc>
          <w:tcPr>
            <w:tcW w:w="6360" w:type="dxa"/>
            <w:vAlign w:val="center"/>
          </w:tcPr>
          <w:p w14:paraId="376E3B2D">
            <w:pPr>
              <w:spacing w:line="28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完善12345市民热线涉企诉求、“泉惠企”平台诉求、企业走访服务模块联动机制，聚焦企业发展中的堵点痛点难点问题，畅通线上线下诉求收集渠道，完善涉企重大事项报告、诉求分级分类办理、跨部门协同处置、涉企诉求实质性办结认定等机制。</w:t>
            </w:r>
          </w:p>
        </w:tc>
        <w:tc>
          <w:tcPr>
            <w:tcW w:w="1843" w:type="dxa"/>
            <w:vAlign w:val="center"/>
          </w:tcPr>
          <w:p w14:paraId="7239976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1A8D98B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区政府办公室、区行政审批服务局</w:t>
            </w:r>
          </w:p>
        </w:tc>
      </w:tr>
      <w:tr w14:paraId="42D284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94" w:hRule="atLeast"/>
          <w:jc w:val="center"/>
        </w:trPr>
        <w:tc>
          <w:tcPr>
            <w:tcW w:w="718" w:type="dxa"/>
            <w:vAlign w:val="center"/>
          </w:tcPr>
          <w:p w14:paraId="623B7469">
            <w:pPr>
              <w:overflowPunct w:val="0"/>
              <w:spacing w:line="280" w:lineRule="exact"/>
              <w:ind w:left="454" w:hanging="454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15</w:t>
            </w:r>
          </w:p>
        </w:tc>
        <w:tc>
          <w:tcPr>
            <w:tcW w:w="992" w:type="dxa"/>
            <w:vMerge w:val="continue"/>
          </w:tcPr>
          <w:p w14:paraId="69FF16DC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51FE65E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1B3DB089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健全“办不成事”反映窗口运行机制，确保企业群众诉求及时有效解决。</w:t>
            </w:r>
          </w:p>
        </w:tc>
        <w:tc>
          <w:tcPr>
            <w:tcW w:w="1843" w:type="dxa"/>
            <w:vAlign w:val="center"/>
          </w:tcPr>
          <w:p w14:paraId="4B440C65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1FD7DF3B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区政府办公室、区行政审批服务局</w:t>
            </w:r>
          </w:p>
        </w:tc>
      </w:tr>
      <w:tr w14:paraId="550106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74" w:hRule="atLeast"/>
          <w:jc w:val="center"/>
        </w:trPr>
        <w:tc>
          <w:tcPr>
            <w:tcW w:w="718" w:type="dxa"/>
            <w:vAlign w:val="center"/>
          </w:tcPr>
          <w:p w14:paraId="5A477DAF">
            <w:pPr>
              <w:overflowPunct w:val="0"/>
              <w:spacing w:line="280" w:lineRule="exact"/>
              <w:ind w:left="454" w:hanging="454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16</w:t>
            </w:r>
          </w:p>
        </w:tc>
        <w:tc>
          <w:tcPr>
            <w:tcW w:w="992" w:type="dxa"/>
            <w:vMerge w:val="continue"/>
          </w:tcPr>
          <w:p w14:paraId="1B09C388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B7F65D1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2AD37B1A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依托区营转办“钢好办·每月谈”机制，汇聚各行业主管部门及街道走访调研征集到的问题，形成“涉企诉求池”，深化诉求数据分析，为政府制定涉企政策、优化服务提供支撑。</w:t>
            </w:r>
          </w:p>
        </w:tc>
        <w:tc>
          <w:tcPr>
            <w:tcW w:w="1843" w:type="dxa"/>
            <w:vAlign w:val="center"/>
          </w:tcPr>
          <w:p w14:paraId="1AD4FD50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3589BE74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区政府办公室、区行政审批服务局</w:t>
            </w:r>
          </w:p>
        </w:tc>
      </w:tr>
      <w:tr w14:paraId="517E8B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75" w:hRule="atLeast"/>
          <w:jc w:val="center"/>
        </w:trPr>
        <w:tc>
          <w:tcPr>
            <w:tcW w:w="718" w:type="dxa"/>
            <w:vAlign w:val="center"/>
          </w:tcPr>
          <w:p w14:paraId="2E69508A">
            <w:pPr>
              <w:overflowPunct w:val="0"/>
              <w:spacing w:line="280" w:lineRule="exact"/>
              <w:ind w:left="454" w:hanging="454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17</w:t>
            </w:r>
          </w:p>
        </w:tc>
        <w:tc>
          <w:tcPr>
            <w:tcW w:w="992" w:type="dxa"/>
            <w:vMerge w:val="continue"/>
          </w:tcPr>
          <w:p w14:paraId="76813CDF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6BF3AD5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优化惠企政策服务</w:t>
            </w:r>
          </w:p>
        </w:tc>
        <w:tc>
          <w:tcPr>
            <w:tcW w:w="6360" w:type="dxa"/>
            <w:vAlign w:val="center"/>
          </w:tcPr>
          <w:p w14:paraId="6F006188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依托各政策实施部门和“泉惠企”平台，精准梳理推送政策，配合上级部门不断加强“泉惠企”平台“政策问答”“政策计算器”服务功能宣传，切实提升惠企政策知晓率。</w:t>
            </w:r>
          </w:p>
        </w:tc>
        <w:tc>
          <w:tcPr>
            <w:tcW w:w="1843" w:type="dxa"/>
            <w:vAlign w:val="center"/>
          </w:tcPr>
          <w:p w14:paraId="4C374903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15FEED03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区行政审批服务局、区财政局</w:t>
            </w:r>
          </w:p>
        </w:tc>
      </w:tr>
      <w:tr w14:paraId="7B7D14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573" w:hRule="atLeast"/>
          <w:jc w:val="center"/>
        </w:trPr>
        <w:tc>
          <w:tcPr>
            <w:tcW w:w="718" w:type="dxa"/>
            <w:vAlign w:val="center"/>
          </w:tcPr>
          <w:p w14:paraId="1A215126">
            <w:pPr>
              <w:overflowPunct w:val="0"/>
              <w:spacing w:line="280" w:lineRule="exact"/>
              <w:ind w:left="454" w:hanging="454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18</w:t>
            </w:r>
          </w:p>
        </w:tc>
        <w:tc>
          <w:tcPr>
            <w:tcW w:w="992" w:type="dxa"/>
            <w:vMerge w:val="continue"/>
          </w:tcPr>
          <w:p w14:paraId="646DE998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8DA9017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5F5413C5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完善惠企政策申请、受理、审核、兑现等全流程服务，优化政策资金拨付流程，深化惠企政策“直达快享”改革，力争惠企政策“即申即享”“免申即享”事项覆盖率达50%以上。实现惠企政策全量通过“泉惠企”平台兑付，提升政策红利获取便利度。</w:t>
            </w:r>
          </w:p>
        </w:tc>
        <w:tc>
          <w:tcPr>
            <w:tcW w:w="1843" w:type="dxa"/>
            <w:vAlign w:val="center"/>
          </w:tcPr>
          <w:p w14:paraId="26BEADFD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49E0BADC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区行政审批服务局、区财政局</w:t>
            </w:r>
          </w:p>
        </w:tc>
      </w:tr>
      <w:tr w14:paraId="1F6D0A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18" w:hRule="atLeast"/>
          <w:jc w:val="center"/>
        </w:trPr>
        <w:tc>
          <w:tcPr>
            <w:tcW w:w="718" w:type="dxa"/>
            <w:vAlign w:val="center"/>
          </w:tcPr>
          <w:p w14:paraId="0227EF8A">
            <w:pPr>
              <w:overflowPunct w:val="0"/>
              <w:spacing w:line="280" w:lineRule="exact"/>
              <w:ind w:left="454" w:hanging="454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19</w:t>
            </w:r>
          </w:p>
        </w:tc>
        <w:tc>
          <w:tcPr>
            <w:tcW w:w="992" w:type="dxa"/>
            <w:vMerge w:val="continue"/>
          </w:tcPr>
          <w:p w14:paraId="263953CA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E002AAB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推动商会赋能提效</w:t>
            </w:r>
          </w:p>
        </w:tc>
        <w:tc>
          <w:tcPr>
            <w:tcW w:w="6360" w:type="dxa"/>
            <w:vAlign w:val="center"/>
          </w:tcPr>
          <w:p w14:paraId="3E385F56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深化商会“双服务双提升”工作，完善“双向赋能、梯次提升”工作体系。强化商会分级分类指导，引导商会积极履职，显著提升商会政治意识和履职能力。</w:t>
            </w:r>
          </w:p>
        </w:tc>
        <w:tc>
          <w:tcPr>
            <w:tcW w:w="1843" w:type="dxa"/>
            <w:vAlign w:val="center"/>
          </w:tcPr>
          <w:p w14:paraId="09AF0C7E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66A29983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区工商联、各街道（功能区）</w:t>
            </w:r>
          </w:p>
        </w:tc>
      </w:tr>
      <w:tr w14:paraId="16F045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24" w:hRule="atLeast"/>
          <w:jc w:val="center"/>
        </w:trPr>
        <w:tc>
          <w:tcPr>
            <w:tcW w:w="718" w:type="dxa"/>
            <w:vAlign w:val="center"/>
          </w:tcPr>
          <w:p w14:paraId="1FE823A5">
            <w:pPr>
              <w:overflowPunct w:val="0"/>
              <w:spacing w:line="280" w:lineRule="exact"/>
              <w:ind w:left="454" w:hanging="454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20</w:t>
            </w:r>
          </w:p>
        </w:tc>
        <w:tc>
          <w:tcPr>
            <w:tcW w:w="992" w:type="dxa"/>
            <w:vMerge w:val="continue"/>
          </w:tcPr>
          <w:p w14:paraId="0AAED3D1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ECED834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6012210D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积极组织民营企业家参加“泉城民营企业家大讲堂”等讲座活动，全年达到300人次。强化“亲清驿站”与“泉惠企”企业服务站联动共建，助力民营企业活动开展、诉求征集和难题破解。</w:t>
            </w:r>
          </w:p>
        </w:tc>
        <w:tc>
          <w:tcPr>
            <w:tcW w:w="1843" w:type="dxa"/>
            <w:vAlign w:val="center"/>
          </w:tcPr>
          <w:p w14:paraId="6FC1BFCF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77A5725F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区工商联、区行政审批服务局、各街道（功能区）</w:t>
            </w:r>
          </w:p>
        </w:tc>
      </w:tr>
      <w:tr w14:paraId="182FD5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25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15568912">
            <w:pPr>
              <w:spacing w:line="280" w:lineRule="exact"/>
              <w:ind w:left="454" w:hanging="454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21</w:t>
            </w:r>
          </w:p>
        </w:tc>
        <w:tc>
          <w:tcPr>
            <w:tcW w:w="992" w:type="dxa"/>
            <w:vMerge w:val="restart"/>
            <w:vAlign w:val="center"/>
          </w:tcPr>
          <w:p w14:paraId="2206A9C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营造更优营商氛围</w:t>
            </w:r>
          </w:p>
        </w:tc>
        <w:tc>
          <w:tcPr>
            <w:tcW w:w="1134" w:type="dxa"/>
            <w:vMerge w:val="restart"/>
            <w:vAlign w:val="center"/>
          </w:tcPr>
          <w:p w14:paraId="330F982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推动活力消费片区建设</w:t>
            </w:r>
          </w:p>
        </w:tc>
        <w:tc>
          <w:tcPr>
            <w:tcW w:w="6360" w:type="dxa"/>
            <w:vAlign w:val="center"/>
          </w:tcPr>
          <w:p w14:paraId="1C6E6E24">
            <w:pPr>
              <w:spacing w:line="28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提升老城区消费环境品质，优化北城子坡、西冶、洪沟等商业片区业态布局，提速特色餐饮、品牌首店等新业态引进培育。</w:t>
            </w:r>
          </w:p>
        </w:tc>
        <w:tc>
          <w:tcPr>
            <w:tcW w:w="1843" w:type="dxa"/>
            <w:vAlign w:val="center"/>
          </w:tcPr>
          <w:p w14:paraId="311927F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0CAAAC7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区商务局、各街道（功能区）</w:t>
            </w:r>
          </w:p>
        </w:tc>
      </w:tr>
      <w:tr w14:paraId="085D41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93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04B576C1">
            <w:pPr>
              <w:overflowPunct w:val="0"/>
              <w:spacing w:line="280" w:lineRule="exact"/>
              <w:ind w:left="454" w:hanging="454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22</w:t>
            </w:r>
          </w:p>
        </w:tc>
        <w:tc>
          <w:tcPr>
            <w:tcW w:w="992" w:type="dxa"/>
            <w:vMerge w:val="continue"/>
          </w:tcPr>
          <w:p w14:paraId="239EDBA6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BD42D9C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416354D2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支持发展社区便民商业、夜间经济，打造体验型、减压型等特色消费场景。持续优化文体赛事运营服务，拓展多元便民文旅消费业态，稳步升级“村拔”擂台赛品牌活动，吸纳客流40万人次以上，带动文旅等领域消费突破1000万元。</w:t>
            </w:r>
          </w:p>
        </w:tc>
        <w:tc>
          <w:tcPr>
            <w:tcW w:w="1843" w:type="dxa"/>
            <w:vAlign w:val="center"/>
          </w:tcPr>
          <w:p w14:paraId="6611572D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12A52A4E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区商务局、区文化和旅游局、各街道（功能区）</w:t>
            </w:r>
          </w:p>
        </w:tc>
      </w:tr>
      <w:tr w14:paraId="062396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303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02320BD2">
            <w:pPr>
              <w:overflowPunct w:val="0"/>
              <w:spacing w:line="280" w:lineRule="exact"/>
              <w:ind w:left="454" w:hanging="454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23</w:t>
            </w:r>
          </w:p>
        </w:tc>
        <w:tc>
          <w:tcPr>
            <w:tcW w:w="992" w:type="dxa"/>
            <w:vMerge w:val="continue"/>
          </w:tcPr>
          <w:p w14:paraId="6F81C223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4F169F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擦亮“钢好办”营商服务品牌</w:t>
            </w:r>
          </w:p>
        </w:tc>
        <w:tc>
          <w:tcPr>
            <w:tcW w:w="6360" w:type="dxa"/>
            <w:vAlign w:val="center"/>
          </w:tcPr>
          <w:p w14:paraId="7D3B073F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弘扬开放创新包容的城市品格，大力营造尊商、亲商、重商的浓厚社会氛围，进一步提升服务企业的能力和水平，系统打造“1+N”营商服务品牌矩阵，鼓励各街道、园区形成“一街一品”“一园一特色”服务案例。</w:t>
            </w:r>
          </w:p>
        </w:tc>
        <w:tc>
          <w:tcPr>
            <w:tcW w:w="1843" w:type="dxa"/>
            <w:vAlign w:val="center"/>
          </w:tcPr>
          <w:p w14:paraId="047AACC2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5B63A295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区行政审批服务局、各街道（功能区）</w:t>
            </w:r>
          </w:p>
        </w:tc>
      </w:tr>
      <w:tr w14:paraId="2540AF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867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3393728D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24</w:t>
            </w:r>
          </w:p>
        </w:tc>
        <w:tc>
          <w:tcPr>
            <w:tcW w:w="992" w:type="dxa"/>
            <w:vMerge w:val="continue"/>
          </w:tcPr>
          <w:p w14:paraId="0F532569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6ECE372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加强作风纪律建设</w:t>
            </w:r>
          </w:p>
        </w:tc>
        <w:tc>
          <w:tcPr>
            <w:tcW w:w="6360" w:type="dxa"/>
            <w:vAlign w:val="center"/>
          </w:tcPr>
          <w:p w14:paraId="42A7C185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组建察访组每季度开展一次集中察访工作，实地至各街道（功能区）、各部门单位，各级服务大厅、窗口单位、办公场所，严查工作人员违反工作纪律、脱岗串岗、吃拿卡要、敷衍塞责等不正之风。对违反工作纪律、损害营商环境的行为进行通报，性质严重的及时移交纪检监察机关依规依纪处置，持续建设风清气正的良好政务环境。推动各级及相关部门加强对涉企“第三方”服务行业监管，整治“第三方”服务标准不一、质量不高、弄虚造假，中介机构利用政府影响违规收费，强制或者变相强制企业参加评比表彰活动等问题。</w:t>
            </w:r>
          </w:p>
        </w:tc>
        <w:tc>
          <w:tcPr>
            <w:tcW w:w="1843" w:type="dxa"/>
            <w:vAlign w:val="center"/>
          </w:tcPr>
          <w:p w14:paraId="65AA7B2C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2026年10月底</w:t>
            </w:r>
          </w:p>
        </w:tc>
        <w:tc>
          <w:tcPr>
            <w:tcW w:w="2126" w:type="dxa"/>
            <w:vAlign w:val="center"/>
          </w:tcPr>
          <w:p w14:paraId="5E0C95F5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区纪委监委机关、区政府办公室、区行政审批服务局、各街道（功能区）</w:t>
            </w:r>
          </w:p>
        </w:tc>
      </w:tr>
      <w:tr w14:paraId="09C17F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03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2FEEAB0C">
            <w:pPr>
              <w:widowControl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25</w:t>
            </w:r>
          </w:p>
        </w:tc>
        <w:tc>
          <w:tcPr>
            <w:tcW w:w="992" w:type="dxa"/>
            <w:vMerge w:val="restart"/>
            <w:vAlign w:val="center"/>
          </w:tcPr>
          <w:p w14:paraId="0DB5CD7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bookmarkStart w:id="3" w:name="OLE_LINK8"/>
            <w:r>
              <w:rPr>
                <w:rFonts w:hint="eastAsia" w:ascii="宋体" w:hAnsi="宋体" w:eastAsia="仿宋_GB2312" w:cs="仿宋_GB2312"/>
                <w:bCs/>
                <w:sz w:val="24"/>
              </w:rPr>
              <w:t>加强产业链协同式发展</w:t>
            </w:r>
            <w:bookmarkEnd w:id="3"/>
          </w:p>
        </w:tc>
        <w:tc>
          <w:tcPr>
            <w:tcW w:w="1134" w:type="dxa"/>
            <w:vMerge w:val="restart"/>
            <w:vAlign w:val="center"/>
          </w:tcPr>
          <w:p w14:paraId="38B934F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实施融链固链行动</w:t>
            </w:r>
          </w:p>
        </w:tc>
        <w:tc>
          <w:tcPr>
            <w:tcW w:w="6360" w:type="dxa"/>
            <w:vAlign w:val="center"/>
          </w:tcPr>
          <w:p w14:paraId="3EEAC0B5">
            <w:pPr>
              <w:spacing w:line="28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锚定“3+2”主导产业链，发挥链主企业带动作用，促进大中小企业融通发展。</w:t>
            </w:r>
          </w:p>
        </w:tc>
        <w:tc>
          <w:tcPr>
            <w:tcW w:w="1843" w:type="dxa"/>
            <w:vAlign w:val="center"/>
          </w:tcPr>
          <w:p w14:paraId="0B83170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3C890D5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区工业信息化和科技局</w:t>
            </w:r>
          </w:p>
        </w:tc>
      </w:tr>
      <w:tr w14:paraId="3C88F7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82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55CDF453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26</w:t>
            </w:r>
          </w:p>
        </w:tc>
        <w:tc>
          <w:tcPr>
            <w:tcW w:w="992" w:type="dxa"/>
            <w:vMerge w:val="continue"/>
          </w:tcPr>
          <w:p w14:paraId="5EDB3859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48B6674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5B36364C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开展产业链精准招商，围绕龙头企业核心原材料、零部件需求，深度挖掘产业链关键环节企业核心诉求，以需求牵引资源集聚，推动链上企业协同融通。</w:t>
            </w:r>
          </w:p>
        </w:tc>
        <w:tc>
          <w:tcPr>
            <w:tcW w:w="1843" w:type="dxa"/>
            <w:vAlign w:val="center"/>
          </w:tcPr>
          <w:p w14:paraId="3842BDCB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2C9FE132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区工业信息化和科技局、区投资促进局</w:t>
            </w:r>
          </w:p>
        </w:tc>
      </w:tr>
      <w:tr w14:paraId="77552C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15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51321266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27</w:t>
            </w:r>
          </w:p>
        </w:tc>
        <w:tc>
          <w:tcPr>
            <w:tcW w:w="992" w:type="dxa"/>
            <w:vMerge w:val="restart"/>
            <w:vAlign w:val="center"/>
          </w:tcPr>
          <w:p w14:paraId="30861537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加强产业链协同式发展</w:t>
            </w:r>
          </w:p>
        </w:tc>
        <w:tc>
          <w:tcPr>
            <w:tcW w:w="1134" w:type="dxa"/>
            <w:vMerge w:val="restart"/>
            <w:vAlign w:val="center"/>
          </w:tcPr>
          <w:p w14:paraId="29A617A1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深化全区协同招商机制</w:t>
            </w:r>
          </w:p>
        </w:tc>
        <w:tc>
          <w:tcPr>
            <w:tcW w:w="6360" w:type="dxa"/>
            <w:vAlign w:val="center"/>
          </w:tcPr>
          <w:p w14:paraId="686A71E3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深化“七个协同”招商机制，拓宽项目来源渠道，加大招引力度，争取年内新增招商引资项目100个以上。</w:t>
            </w:r>
          </w:p>
        </w:tc>
        <w:tc>
          <w:tcPr>
            <w:tcW w:w="1843" w:type="dxa"/>
            <w:vAlign w:val="center"/>
          </w:tcPr>
          <w:p w14:paraId="2FD067C4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403205FC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区投资促进局</w:t>
            </w:r>
          </w:p>
        </w:tc>
      </w:tr>
      <w:tr w14:paraId="7B90CD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01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4C5F1D5C">
            <w:pPr>
              <w:widowControl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28</w:t>
            </w:r>
          </w:p>
        </w:tc>
        <w:tc>
          <w:tcPr>
            <w:tcW w:w="992" w:type="dxa"/>
            <w:vMerge w:val="continue"/>
            <w:vAlign w:val="center"/>
          </w:tcPr>
          <w:p w14:paraId="450C18C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6FBE2800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6AE60B1F">
            <w:pPr>
              <w:spacing w:line="28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动态更新“一图两清单”，靶向招引关键环节配套企业，签约落地优质产业项目80个以上。</w:t>
            </w:r>
          </w:p>
        </w:tc>
        <w:tc>
          <w:tcPr>
            <w:tcW w:w="1843" w:type="dxa"/>
            <w:vAlign w:val="center"/>
          </w:tcPr>
          <w:p w14:paraId="5460CD2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4F65341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区投资促进局</w:t>
            </w:r>
          </w:p>
        </w:tc>
      </w:tr>
      <w:tr w14:paraId="34AE50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96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0518E8BD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29</w:t>
            </w:r>
          </w:p>
        </w:tc>
        <w:tc>
          <w:tcPr>
            <w:tcW w:w="992" w:type="dxa"/>
            <w:vMerge w:val="continue"/>
          </w:tcPr>
          <w:p w14:paraId="66F914DA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B8537BE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71D68B91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完善“谋划—招引—签约—落地—投产”闭环推进机制，做好重点在谈项目跟踪服务，保障项目及时开工建设。</w:t>
            </w:r>
          </w:p>
        </w:tc>
        <w:tc>
          <w:tcPr>
            <w:tcW w:w="1843" w:type="dxa"/>
            <w:vAlign w:val="center"/>
          </w:tcPr>
          <w:p w14:paraId="2308044C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742AE3E1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区投资促进局</w:t>
            </w:r>
          </w:p>
        </w:tc>
      </w:tr>
      <w:tr w14:paraId="002658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86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1D856049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30</w:t>
            </w:r>
          </w:p>
        </w:tc>
        <w:tc>
          <w:tcPr>
            <w:tcW w:w="992" w:type="dxa"/>
            <w:vMerge w:val="continue"/>
          </w:tcPr>
          <w:p w14:paraId="0D29DF32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C1CB520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4B7936D4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探索引进大型钢贸市场、农贸市场、物流园等平台载体，完善基础设施建设，助力市场主体多元化、规模化和高质量发展。</w:t>
            </w:r>
          </w:p>
        </w:tc>
        <w:tc>
          <w:tcPr>
            <w:tcW w:w="1843" w:type="dxa"/>
            <w:vAlign w:val="center"/>
          </w:tcPr>
          <w:p w14:paraId="5AC6FCF2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1EC3E2F7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区商务局</w:t>
            </w:r>
          </w:p>
        </w:tc>
      </w:tr>
      <w:tr w14:paraId="4B58AC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85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528DCEA7">
            <w:pPr>
              <w:widowControl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31</w:t>
            </w:r>
          </w:p>
        </w:tc>
        <w:tc>
          <w:tcPr>
            <w:tcW w:w="992" w:type="dxa"/>
            <w:vMerge w:val="restart"/>
            <w:vAlign w:val="center"/>
          </w:tcPr>
          <w:p w14:paraId="0209ED9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优化项目联合审批服务</w:t>
            </w:r>
          </w:p>
        </w:tc>
        <w:tc>
          <w:tcPr>
            <w:tcW w:w="1134" w:type="dxa"/>
            <w:vMerge w:val="restart"/>
            <w:vAlign w:val="center"/>
          </w:tcPr>
          <w:p w14:paraId="28C3354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优化项目审批流程</w:t>
            </w:r>
          </w:p>
        </w:tc>
        <w:tc>
          <w:tcPr>
            <w:tcW w:w="6360" w:type="dxa"/>
            <w:vAlign w:val="center"/>
          </w:tcPr>
          <w:p w14:paraId="4F4BE90F">
            <w:pPr>
              <w:spacing w:line="28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不断完善项目管家队伍建设，主动靠前服务项目，探索建立覆盖“主体登记、立项规划、项目审批、竣工验收”的全生命周期定制服务机制。</w:t>
            </w:r>
          </w:p>
        </w:tc>
        <w:tc>
          <w:tcPr>
            <w:tcW w:w="1843" w:type="dxa"/>
            <w:vAlign w:val="center"/>
          </w:tcPr>
          <w:p w14:paraId="44C7A2C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20E0813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区行政审批服务局</w:t>
            </w:r>
          </w:p>
        </w:tc>
      </w:tr>
      <w:tr w14:paraId="2089CD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72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78E67BF6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32</w:t>
            </w:r>
          </w:p>
        </w:tc>
        <w:tc>
          <w:tcPr>
            <w:tcW w:w="992" w:type="dxa"/>
            <w:vMerge w:val="continue"/>
          </w:tcPr>
          <w:p w14:paraId="694CBFC7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54E56CE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1835432B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深化工程建设项目审批“多审合一、多验合一”改革，落实落细项目开工“一件事”、固定资产投资项目审批“一件事”等，通过部门集成服务推动项目快速落地实施。</w:t>
            </w:r>
          </w:p>
        </w:tc>
        <w:tc>
          <w:tcPr>
            <w:tcW w:w="1843" w:type="dxa"/>
            <w:vAlign w:val="center"/>
          </w:tcPr>
          <w:p w14:paraId="2470288B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305C17C2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区行政审批服务局</w:t>
            </w:r>
          </w:p>
        </w:tc>
      </w:tr>
      <w:tr w14:paraId="50651F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99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4B9948B0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33</w:t>
            </w:r>
          </w:p>
        </w:tc>
        <w:tc>
          <w:tcPr>
            <w:tcW w:w="992" w:type="dxa"/>
            <w:vMerge w:val="continue"/>
          </w:tcPr>
          <w:p w14:paraId="787D1D14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320F39E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全力推进项目建设</w:t>
            </w:r>
          </w:p>
        </w:tc>
        <w:tc>
          <w:tcPr>
            <w:tcW w:w="6360" w:type="dxa"/>
            <w:shd w:val="clear" w:color="auto" w:fill="auto"/>
            <w:vAlign w:val="center"/>
          </w:tcPr>
          <w:p w14:paraId="69A026BF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紧盯10个省级、30个市级、238个区级储备重点项目，强化全生命周期服务保障，加快推进90个在库转接项目建设，抓好116个计划新入库纳统项目服务，有效推进投资量稳质升。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E62CDE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95404D4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区发展改革局</w:t>
            </w:r>
          </w:p>
        </w:tc>
      </w:tr>
      <w:tr w14:paraId="5D78B3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99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2F272A4F">
            <w:pPr>
              <w:widowControl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34</w:t>
            </w:r>
          </w:p>
        </w:tc>
        <w:tc>
          <w:tcPr>
            <w:tcW w:w="992" w:type="dxa"/>
            <w:vMerge w:val="restart"/>
            <w:vAlign w:val="center"/>
          </w:tcPr>
          <w:p w14:paraId="0DD35D7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加强要素支持保障力度</w:t>
            </w:r>
          </w:p>
        </w:tc>
        <w:tc>
          <w:tcPr>
            <w:tcW w:w="1134" w:type="dxa"/>
            <w:vMerge w:val="restart"/>
            <w:vAlign w:val="center"/>
          </w:tcPr>
          <w:p w14:paraId="65FE9E6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加大企业供需对接力度</w:t>
            </w:r>
          </w:p>
        </w:tc>
        <w:tc>
          <w:tcPr>
            <w:tcW w:w="6360" w:type="dxa"/>
            <w:vAlign w:val="center"/>
          </w:tcPr>
          <w:p w14:paraId="39DCC87E">
            <w:pPr>
              <w:spacing w:line="28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根据产业结构特点，提升本地企业配套率，围绕企业需求，年内开展各类企业供需对接会不少于10场次。</w:t>
            </w:r>
          </w:p>
        </w:tc>
        <w:tc>
          <w:tcPr>
            <w:tcW w:w="1843" w:type="dxa"/>
            <w:vAlign w:val="center"/>
          </w:tcPr>
          <w:p w14:paraId="4B5D707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0A5D5D5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区工业信息化和科技局、区行政审批服务局</w:t>
            </w:r>
          </w:p>
        </w:tc>
      </w:tr>
      <w:tr w14:paraId="0F47C2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98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5330AC6D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35</w:t>
            </w:r>
          </w:p>
        </w:tc>
        <w:tc>
          <w:tcPr>
            <w:tcW w:w="992" w:type="dxa"/>
            <w:vMerge w:val="continue"/>
            <w:vAlign w:val="center"/>
          </w:tcPr>
          <w:p w14:paraId="6B6D7A12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E743D5F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6F5279A5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持续推广“泉惠企”平台供需服务模块，提高企业入驻率和信息发布活跃度。</w:t>
            </w:r>
          </w:p>
        </w:tc>
        <w:tc>
          <w:tcPr>
            <w:tcW w:w="1843" w:type="dxa"/>
            <w:vAlign w:val="center"/>
          </w:tcPr>
          <w:p w14:paraId="37E3A2D1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1CF909F7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区工业信息化和科技局、区行政审批服务局</w:t>
            </w:r>
          </w:p>
        </w:tc>
      </w:tr>
      <w:tr w14:paraId="785C63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566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0A078889">
            <w:pPr>
              <w:widowControl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36</w:t>
            </w:r>
          </w:p>
        </w:tc>
        <w:tc>
          <w:tcPr>
            <w:tcW w:w="992" w:type="dxa"/>
            <w:vMerge w:val="restart"/>
            <w:vAlign w:val="center"/>
          </w:tcPr>
          <w:p w14:paraId="0A4B44C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加强要素支持保障力度</w:t>
            </w:r>
          </w:p>
        </w:tc>
        <w:tc>
          <w:tcPr>
            <w:tcW w:w="1134" w:type="dxa"/>
            <w:vAlign w:val="center"/>
          </w:tcPr>
          <w:p w14:paraId="5A52043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持续加大融资服务力度</w:t>
            </w:r>
          </w:p>
        </w:tc>
        <w:tc>
          <w:tcPr>
            <w:tcW w:w="6360" w:type="dxa"/>
            <w:vAlign w:val="center"/>
          </w:tcPr>
          <w:p w14:paraId="2C1D18A1">
            <w:pPr>
              <w:spacing w:line="28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常态化开展政银企对接活动，摸排企业融资需求，帮助解决小微企业实际融资困难，全年开展政银企对接活动10次。加强融资服务平台应用宣传推介，助力中小微企业融资提质增效。持续加大信贷投放，全面落实无还本续贷、首贷培植政策。</w:t>
            </w:r>
          </w:p>
        </w:tc>
        <w:tc>
          <w:tcPr>
            <w:tcW w:w="1843" w:type="dxa"/>
            <w:vAlign w:val="center"/>
          </w:tcPr>
          <w:p w14:paraId="5D624ED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667B8BB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区金融运行监测中心</w:t>
            </w:r>
          </w:p>
        </w:tc>
      </w:tr>
      <w:tr w14:paraId="3AF5C8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88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59FE4382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37</w:t>
            </w:r>
          </w:p>
        </w:tc>
        <w:tc>
          <w:tcPr>
            <w:tcW w:w="992" w:type="dxa"/>
            <w:vMerge w:val="continue"/>
            <w:vAlign w:val="center"/>
          </w:tcPr>
          <w:p w14:paraId="3177DBC1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D3FE681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打造“类海外”环境</w:t>
            </w:r>
          </w:p>
        </w:tc>
        <w:tc>
          <w:tcPr>
            <w:tcW w:w="6360" w:type="dxa"/>
            <w:vAlign w:val="center"/>
          </w:tcPr>
          <w:p w14:paraId="3A9AB411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持续推进“类海外”环境建设，探索“国际范”与“钢城元素”的创新融合，2026年12月底前，推动建成3—5个涉外服务港、友城花园、国际人才俱乐部、国际化语言环境等“类海外”环境项目。</w:t>
            </w:r>
          </w:p>
        </w:tc>
        <w:tc>
          <w:tcPr>
            <w:tcW w:w="1843" w:type="dxa"/>
            <w:vAlign w:val="center"/>
          </w:tcPr>
          <w:p w14:paraId="22FACD39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41DD4BA7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区委外办</w:t>
            </w:r>
          </w:p>
        </w:tc>
      </w:tr>
      <w:tr w14:paraId="56EF00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94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3BBAFBAA">
            <w:pPr>
              <w:widowControl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38</w:t>
            </w:r>
          </w:p>
        </w:tc>
        <w:tc>
          <w:tcPr>
            <w:tcW w:w="992" w:type="dxa"/>
            <w:vMerge w:val="restart"/>
            <w:vAlign w:val="center"/>
          </w:tcPr>
          <w:p w14:paraId="53CEDE4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加大产业协同与转化促进</w:t>
            </w:r>
          </w:p>
        </w:tc>
        <w:tc>
          <w:tcPr>
            <w:tcW w:w="1134" w:type="dxa"/>
            <w:vMerge w:val="restart"/>
            <w:vAlign w:val="center"/>
          </w:tcPr>
          <w:p w14:paraId="5AF7772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深化技术创新与产业创新融合</w:t>
            </w:r>
          </w:p>
        </w:tc>
        <w:tc>
          <w:tcPr>
            <w:tcW w:w="6360" w:type="dxa"/>
            <w:vAlign w:val="center"/>
          </w:tcPr>
          <w:p w14:paraId="2677B472">
            <w:pPr>
              <w:spacing w:line="28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坚持创新驱动，全社会研发经费投入占比保持在4%以上，每万人高价值发明专利拥有量增长6.7%以上，全年完成高价值发明专利24件。</w:t>
            </w:r>
          </w:p>
        </w:tc>
        <w:tc>
          <w:tcPr>
            <w:tcW w:w="1843" w:type="dxa"/>
            <w:vAlign w:val="center"/>
          </w:tcPr>
          <w:p w14:paraId="46BEC88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6571D8A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区工业信息化和科技局、区市场监管局</w:t>
            </w:r>
          </w:p>
        </w:tc>
      </w:tr>
      <w:tr w14:paraId="6CCC29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66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6B92EC60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39</w:t>
            </w:r>
          </w:p>
        </w:tc>
        <w:tc>
          <w:tcPr>
            <w:tcW w:w="992" w:type="dxa"/>
            <w:vMerge w:val="continue"/>
            <w:vAlign w:val="center"/>
          </w:tcPr>
          <w:p w14:paraId="565AFF1E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E561725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3647BB65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积极组织钢城区产品参加全市新产品遴选，参评《济南市优势工业产品目录》。</w:t>
            </w:r>
          </w:p>
        </w:tc>
        <w:tc>
          <w:tcPr>
            <w:tcW w:w="1843" w:type="dxa"/>
            <w:vAlign w:val="center"/>
          </w:tcPr>
          <w:p w14:paraId="655C83F2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6A951217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区工业信息化和科技局</w:t>
            </w:r>
          </w:p>
        </w:tc>
      </w:tr>
      <w:tr w14:paraId="3464C0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24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2B46AC8E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40</w:t>
            </w:r>
          </w:p>
        </w:tc>
        <w:tc>
          <w:tcPr>
            <w:tcW w:w="992" w:type="dxa"/>
            <w:vMerge w:val="continue"/>
            <w:vAlign w:val="center"/>
          </w:tcPr>
          <w:p w14:paraId="09898843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1EC4664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强化产学研合作</w:t>
            </w:r>
          </w:p>
        </w:tc>
        <w:tc>
          <w:tcPr>
            <w:tcW w:w="6360" w:type="dxa"/>
            <w:vAlign w:val="center"/>
          </w:tcPr>
          <w:p w14:paraId="38B64533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培育技术经理人队伍，搭建高校院所和企业对接桥梁。组织高校院所企业技术成果对接会，挖掘高校院所成果与企业需求，高质量促进科技成果转化。</w:t>
            </w:r>
          </w:p>
        </w:tc>
        <w:tc>
          <w:tcPr>
            <w:tcW w:w="1843" w:type="dxa"/>
            <w:vAlign w:val="center"/>
          </w:tcPr>
          <w:p w14:paraId="552497E6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50108696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区工业信息化和科技局</w:t>
            </w:r>
          </w:p>
        </w:tc>
      </w:tr>
      <w:tr w14:paraId="4A9E2E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547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7471F65C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41</w:t>
            </w:r>
          </w:p>
        </w:tc>
        <w:tc>
          <w:tcPr>
            <w:tcW w:w="992" w:type="dxa"/>
            <w:vMerge w:val="continue"/>
            <w:vAlign w:val="center"/>
          </w:tcPr>
          <w:p w14:paraId="01D243E8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5FB01E5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强化专利转化运用</w:t>
            </w:r>
          </w:p>
        </w:tc>
        <w:tc>
          <w:tcPr>
            <w:tcW w:w="6360" w:type="dxa"/>
            <w:vAlign w:val="center"/>
          </w:tcPr>
          <w:p w14:paraId="49C5931B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积极引导企业对所需技术专利开展产业化前景评价，科技部门和技术经理人组织开展与高校的区域定向专利许可，围绕产业需求定制专利菜单，向企业精准推送，力争年底专利转让许可数增幅高于全国平均增幅，完成专利技术转移转化7件。</w:t>
            </w:r>
          </w:p>
        </w:tc>
        <w:tc>
          <w:tcPr>
            <w:tcW w:w="1843" w:type="dxa"/>
            <w:vAlign w:val="center"/>
          </w:tcPr>
          <w:p w14:paraId="07FA3C7A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4A8EB194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区市场监管局</w:t>
            </w:r>
          </w:p>
        </w:tc>
      </w:tr>
      <w:tr w14:paraId="37A76D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98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3D3B2B20">
            <w:pPr>
              <w:widowControl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42</w:t>
            </w:r>
          </w:p>
        </w:tc>
        <w:tc>
          <w:tcPr>
            <w:tcW w:w="992" w:type="dxa"/>
            <w:vAlign w:val="center"/>
          </w:tcPr>
          <w:p w14:paraId="29797E90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强化创新创业载体服务</w:t>
            </w:r>
          </w:p>
        </w:tc>
        <w:tc>
          <w:tcPr>
            <w:tcW w:w="1134" w:type="dxa"/>
            <w:vAlign w:val="center"/>
          </w:tcPr>
          <w:p w14:paraId="32B3A6B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建强科创载体平台</w:t>
            </w:r>
          </w:p>
        </w:tc>
        <w:tc>
          <w:tcPr>
            <w:tcW w:w="6360" w:type="dxa"/>
            <w:vAlign w:val="center"/>
          </w:tcPr>
          <w:p w14:paraId="7983FBA3">
            <w:pPr>
              <w:spacing w:line="28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用好区科创中心、开发区创新创业示范园等载体平台，加强载体专业化运营和招商服务，推动优质项目入驻，打造标志性创新创业集聚区。</w:t>
            </w:r>
          </w:p>
        </w:tc>
        <w:tc>
          <w:tcPr>
            <w:tcW w:w="1843" w:type="dxa"/>
            <w:vAlign w:val="center"/>
          </w:tcPr>
          <w:p w14:paraId="2280F63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5ACFCAD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区工业信息化和科技局</w:t>
            </w:r>
          </w:p>
        </w:tc>
      </w:tr>
      <w:tr w14:paraId="4E7DFA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14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62753658">
            <w:pPr>
              <w:widowControl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43</w:t>
            </w:r>
          </w:p>
        </w:tc>
        <w:tc>
          <w:tcPr>
            <w:tcW w:w="992" w:type="dxa"/>
            <w:vMerge w:val="restart"/>
            <w:vAlign w:val="center"/>
          </w:tcPr>
          <w:p w14:paraId="430FF3C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强化创新创业载体服务</w:t>
            </w:r>
          </w:p>
        </w:tc>
        <w:tc>
          <w:tcPr>
            <w:tcW w:w="1134" w:type="dxa"/>
            <w:vMerge w:val="restart"/>
            <w:vAlign w:val="center"/>
          </w:tcPr>
          <w:p w14:paraId="2D8F29B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建强科创载体平台</w:t>
            </w:r>
          </w:p>
        </w:tc>
        <w:tc>
          <w:tcPr>
            <w:tcW w:w="6360" w:type="dxa"/>
            <w:vAlign w:val="center"/>
          </w:tcPr>
          <w:p w14:paraId="527E1D60">
            <w:pPr>
              <w:spacing w:line="28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大力支持龙头企业与高校、科研院所共建技术创新中心、重点实验室等科技平台。</w:t>
            </w:r>
          </w:p>
        </w:tc>
        <w:tc>
          <w:tcPr>
            <w:tcW w:w="1843" w:type="dxa"/>
            <w:vAlign w:val="center"/>
          </w:tcPr>
          <w:p w14:paraId="7025181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55B4DBD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区工业信息化和科技局</w:t>
            </w:r>
          </w:p>
        </w:tc>
      </w:tr>
      <w:tr w14:paraId="093AE7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94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0F38FA47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44</w:t>
            </w:r>
          </w:p>
        </w:tc>
        <w:tc>
          <w:tcPr>
            <w:tcW w:w="992" w:type="dxa"/>
            <w:vMerge w:val="continue"/>
            <w:vAlign w:val="center"/>
          </w:tcPr>
          <w:p w14:paraId="4E9A9D6B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B9ED8B5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6EA1DF6C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开展“创业导师进孵化基地”“创业政策进园区”等活动，依法依规为基地及入驻企业提供指导与政策支持。</w:t>
            </w:r>
          </w:p>
        </w:tc>
        <w:tc>
          <w:tcPr>
            <w:tcW w:w="1843" w:type="dxa"/>
            <w:vAlign w:val="center"/>
          </w:tcPr>
          <w:p w14:paraId="095E75CF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14EB20ED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区人力资源社会保障局、区工业信息化和科技局</w:t>
            </w:r>
          </w:p>
        </w:tc>
      </w:tr>
      <w:tr w14:paraId="749EE5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416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43C19F9B">
            <w:pPr>
              <w:widowControl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45</w:t>
            </w:r>
          </w:p>
        </w:tc>
        <w:tc>
          <w:tcPr>
            <w:tcW w:w="992" w:type="dxa"/>
            <w:vMerge w:val="restart"/>
            <w:vAlign w:val="center"/>
          </w:tcPr>
          <w:p w14:paraId="6969987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企业培育与成长支持</w:t>
            </w:r>
          </w:p>
        </w:tc>
        <w:tc>
          <w:tcPr>
            <w:tcW w:w="1134" w:type="dxa"/>
            <w:vMerge w:val="restart"/>
            <w:vAlign w:val="center"/>
          </w:tcPr>
          <w:p w14:paraId="241718A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培育壮大民营市场主体</w:t>
            </w:r>
          </w:p>
        </w:tc>
        <w:tc>
          <w:tcPr>
            <w:tcW w:w="6360" w:type="dxa"/>
            <w:vAlign w:val="center"/>
          </w:tcPr>
          <w:p w14:paraId="7F6E74C3">
            <w:pPr>
              <w:spacing w:line="28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制定“种子企业”培育计划，优选一批生产经营稳定、创新力强、潜力突出的企业纳入重点培育库，开展梯度培育。举办资本市场专题培训班，提升企业对接资本市场能力，新增2家上市后备企业，纳入省资本市场服务平台。</w:t>
            </w:r>
          </w:p>
        </w:tc>
        <w:tc>
          <w:tcPr>
            <w:tcW w:w="1843" w:type="dxa"/>
            <w:vAlign w:val="center"/>
          </w:tcPr>
          <w:p w14:paraId="283E3E8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0D014F9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区发展改革局、区工业信息化和科技局、区金融运行监测中心</w:t>
            </w:r>
          </w:p>
        </w:tc>
      </w:tr>
      <w:tr w14:paraId="69D4A1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87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7E857E6C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46</w:t>
            </w:r>
          </w:p>
        </w:tc>
        <w:tc>
          <w:tcPr>
            <w:tcW w:w="992" w:type="dxa"/>
            <w:vMerge w:val="continue"/>
            <w:vAlign w:val="center"/>
          </w:tcPr>
          <w:p w14:paraId="0B5051D5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57974F0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6064BFC6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支持重点出口企业扩大出口规模，帮扶成长性出口企业解决手续办理等问题，推动出口业务稳步上量。</w:t>
            </w:r>
          </w:p>
        </w:tc>
        <w:tc>
          <w:tcPr>
            <w:tcW w:w="1843" w:type="dxa"/>
            <w:vAlign w:val="center"/>
          </w:tcPr>
          <w:p w14:paraId="5021C9A8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0833AEB8">
            <w:pPr>
              <w:widowControl/>
              <w:overflowPunct w:val="0"/>
              <w:spacing w:line="280" w:lineRule="exact"/>
              <w:jc w:val="center"/>
              <w:textAlignment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区工业信息化和科技局</w:t>
            </w:r>
          </w:p>
        </w:tc>
      </w:tr>
      <w:tr w14:paraId="4BDAE7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95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1B2CDB24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/>
                <w:bCs/>
                <w:kern w:val="0"/>
                <w:sz w:val="24"/>
                <w:lang w:bidi="ar"/>
              </w:rPr>
              <w:t>47</w:t>
            </w:r>
          </w:p>
        </w:tc>
        <w:tc>
          <w:tcPr>
            <w:tcW w:w="992" w:type="dxa"/>
            <w:vMerge w:val="continue"/>
            <w:vAlign w:val="center"/>
          </w:tcPr>
          <w:p w14:paraId="31501B3B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B9819F7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推进科技型企业登峰计划</w:t>
            </w:r>
          </w:p>
        </w:tc>
        <w:tc>
          <w:tcPr>
            <w:tcW w:w="6360" w:type="dxa"/>
            <w:vAlign w:val="center"/>
          </w:tcPr>
          <w:p w14:paraId="50B23924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聚焦高层次人才、高价值专利、股权融资等要素，对掌握关键核心技术、市场前景良好的科技型企业开展集中培训与一对一辅导。</w:t>
            </w:r>
          </w:p>
        </w:tc>
        <w:tc>
          <w:tcPr>
            <w:tcW w:w="1843" w:type="dxa"/>
            <w:vAlign w:val="center"/>
          </w:tcPr>
          <w:p w14:paraId="4A1EDA66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77D48B42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区工业信息化和科技局、区发展改革局、区市场监管局、区金融运行监测中心</w:t>
            </w:r>
          </w:p>
        </w:tc>
      </w:tr>
      <w:tr w14:paraId="5E6944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72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4864F413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48</w:t>
            </w:r>
          </w:p>
        </w:tc>
        <w:tc>
          <w:tcPr>
            <w:tcW w:w="992" w:type="dxa"/>
            <w:vMerge w:val="continue"/>
            <w:vAlign w:val="center"/>
          </w:tcPr>
          <w:p w14:paraId="300CF66A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6E6D9B2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04CD1478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突出企业创新主体地位，新培育创新型中小企业、“专精特新”、单项冠军等品牌企业10家，申报高新技术企业30家，科技型中小企业评价入库150家。</w:t>
            </w:r>
          </w:p>
        </w:tc>
        <w:tc>
          <w:tcPr>
            <w:tcW w:w="1843" w:type="dxa"/>
            <w:vAlign w:val="center"/>
          </w:tcPr>
          <w:p w14:paraId="202F909E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5F3FD423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区工业信息化和科技局、区发展改革局、区市场监管局</w:t>
            </w:r>
          </w:p>
        </w:tc>
      </w:tr>
      <w:tr w14:paraId="5EC57B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34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0437F042">
            <w:pPr>
              <w:widowControl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49</w:t>
            </w:r>
          </w:p>
        </w:tc>
        <w:tc>
          <w:tcPr>
            <w:tcW w:w="992" w:type="dxa"/>
            <w:vMerge w:val="restart"/>
            <w:vAlign w:val="center"/>
          </w:tcPr>
          <w:p w14:paraId="45A03A5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人才引育与服务保障</w:t>
            </w:r>
          </w:p>
        </w:tc>
        <w:tc>
          <w:tcPr>
            <w:tcW w:w="1134" w:type="dxa"/>
            <w:vMerge w:val="restart"/>
            <w:vAlign w:val="center"/>
          </w:tcPr>
          <w:p w14:paraId="2EFBB74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拓展“产才对接”机制</w:t>
            </w:r>
          </w:p>
        </w:tc>
        <w:tc>
          <w:tcPr>
            <w:tcW w:w="6360" w:type="dxa"/>
            <w:vAlign w:val="center"/>
          </w:tcPr>
          <w:p w14:paraId="78CA523C">
            <w:pPr>
              <w:spacing w:line="28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与山钢股份和莱钢集团常态化沟通对接，加大产业人才共享共用。</w:t>
            </w:r>
          </w:p>
        </w:tc>
        <w:tc>
          <w:tcPr>
            <w:tcW w:w="1843" w:type="dxa"/>
            <w:vAlign w:val="center"/>
          </w:tcPr>
          <w:p w14:paraId="79EFC4F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219C8EC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区人力资源社会保障局</w:t>
            </w:r>
          </w:p>
        </w:tc>
      </w:tr>
      <w:tr w14:paraId="5BC493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62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311F3125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50</w:t>
            </w:r>
          </w:p>
        </w:tc>
        <w:tc>
          <w:tcPr>
            <w:tcW w:w="992" w:type="dxa"/>
            <w:vMerge w:val="continue"/>
            <w:vAlign w:val="center"/>
          </w:tcPr>
          <w:p w14:paraId="4A6418AE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22BD79D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7C49EFDE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精准链接钢城区产业需求与人力智力资源，举办“才聚泉城高校行”等引才活动，高质量承办第九届中国（济南）新动能创新创业大赛西安赛区，争取落地一批优质人才项目。</w:t>
            </w:r>
          </w:p>
        </w:tc>
        <w:tc>
          <w:tcPr>
            <w:tcW w:w="1843" w:type="dxa"/>
            <w:vAlign w:val="center"/>
          </w:tcPr>
          <w:p w14:paraId="34202F74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41AE67FE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区委组织部</w:t>
            </w:r>
          </w:p>
        </w:tc>
      </w:tr>
      <w:tr w14:paraId="1DBC7C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40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2F6D0F0E">
            <w:pPr>
              <w:widowControl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51</w:t>
            </w:r>
          </w:p>
        </w:tc>
        <w:tc>
          <w:tcPr>
            <w:tcW w:w="992" w:type="dxa"/>
            <w:vMerge w:val="restart"/>
            <w:vAlign w:val="center"/>
          </w:tcPr>
          <w:p w14:paraId="3A23A5C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人才引育与服务保障</w:t>
            </w:r>
          </w:p>
        </w:tc>
        <w:tc>
          <w:tcPr>
            <w:tcW w:w="1134" w:type="dxa"/>
            <w:vMerge w:val="restart"/>
            <w:vAlign w:val="center"/>
          </w:tcPr>
          <w:p w14:paraId="0BF34B3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拓展“产才对接”机制</w:t>
            </w:r>
          </w:p>
        </w:tc>
        <w:tc>
          <w:tcPr>
            <w:tcW w:w="6360" w:type="dxa"/>
            <w:vAlign w:val="center"/>
          </w:tcPr>
          <w:p w14:paraId="3EF6B5C9">
            <w:pPr>
              <w:spacing w:line="28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加大促进就业政策支持和劳动就业服务力度，印发《钢城人才20条政策措施（2026版）》，构建“1310”人才服务体系，细化政策咨询等10类重点服务事项，加强企业用工保障和职业技能培训。</w:t>
            </w:r>
          </w:p>
        </w:tc>
        <w:tc>
          <w:tcPr>
            <w:tcW w:w="1843" w:type="dxa"/>
            <w:vAlign w:val="center"/>
          </w:tcPr>
          <w:p w14:paraId="783B675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14C01BF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区委组织部、区人力资源社会保障局</w:t>
            </w:r>
          </w:p>
        </w:tc>
      </w:tr>
      <w:tr w14:paraId="7BFCB5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83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773039CA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52</w:t>
            </w:r>
          </w:p>
        </w:tc>
        <w:tc>
          <w:tcPr>
            <w:tcW w:w="992" w:type="dxa"/>
            <w:vMerge w:val="continue"/>
            <w:vAlign w:val="center"/>
          </w:tcPr>
          <w:p w14:paraId="534A044C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DF9794E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06ADE007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支持人才创业，加强面向创业者和中小企业管理层的培训辅导，提升企业合规经营能力。培育市级及以上产业领军人才不少于5人、各类技术技能人才300人以上。</w:t>
            </w:r>
          </w:p>
        </w:tc>
        <w:tc>
          <w:tcPr>
            <w:tcW w:w="1843" w:type="dxa"/>
            <w:vAlign w:val="center"/>
          </w:tcPr>
          <w:p w14:paraId="1BB8FDDC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50732B03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区委组织部、区工业信息化和科技局、区税务局</w:t>
            </w:r>
          </w:p>
        </w:tc>
      </w:tr>
      <w:tr w14:paraId="596F72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79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3CFFEA39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53</w:t>
            </w:r>
          </w:p>
        </w:tc>
        <w:tc>
          <w:tcPr>
            <w:tcW w:w="992" w:type="dxa"/>
            <w:vMerge w:val="continue"/>
            <w:vAlign w:val="center"/>
          </w:tcPr>
          <w:p w14:paraId="5FF32CB5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9E8830D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打造钢城企业家队伍</w:t>
            </w:r>
          </w:p>
        </w:tc>
        <w:tc>
          <w:tcPr>
            <w:tcW w:w="6360" w:type="dxa"/>
            <w:vAlign w:val="center"/>
          </w:tcPr>
          <w:p w14:paraId="349272B3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完善民营经济培训体系，举办“企业家素质能力提升培训班”，年内组织商会、企业到先进区县、优秀企业学习交流10次以上。</w:t>
            </w:r>
          </w:p>
        </w:tc>
        <w:tc>
          <w:tcPr>
            <w:tcW w:w="1843" w:type="dxa"/>
            <w:vAlign w:val="center"/>
          </w:tcPr>
          <w:p w14:paraId="6D7264D0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252EA269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区委统战部、区工商联、区发展改革局、区工业信息化和科技局</w:t>
            </w:r>
          </w:p>
        </w:tc>
      </w:tr>
      <w:tr w14:paraId="06601F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71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1BAA453B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54</w:t>
            </w:r>
          </w:p>
        </w:tc>
        <w:tc>
          <w:tcPr>
            <w:tcW w:w="992" w:type="dxa"/>
            <w:vMerge w:val="continue"/>
            <w:vAlign w:val="center"/>
          </w:tcPr>
          <w:p w14:paraId="679BF14C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251EEA2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4E955445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充分发挥各街道商会、女企业家商会、青年企业家协会、新生代企业家联谊会等商协会作用，建立年轻一代民营经济人士传帮带辅导制度，推动民营企业有序传承发展。组织各类培训交流活动10场以上，覆盖企业家1000人次以上。</w:t>
            </w:r>
          </w:p>
        </w:tc>
        <w:tc>
          <w:tcPr>
            <w:tcW w:w="1843" w:type="dxa"/>
            <w:vAlign w:val="center"/>
          </w:tcPr>
          <w:p w14:paraId="2D6948FD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704785F8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区委统战部、区工商联、区发展改革局、区工业信息化和科技局</w:t>
            </w:r>
          </w:p>
        </w:tc>
      </w:tr>
      <w:tr w14:paraId="1FDC4D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98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112688B9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55</w:t>
            </w:r>
          </w:p>
        </w:tc>
        <w:tc>
          <w:tcPr>
            <w:tcW w:w="992" w:type="dxa"/>
            <w:vMerge w:val="continue"/>
            <w:vAlign w:val="center"/>
          </w:tcPr>
          <w:p w14:paraId="3EEACCE4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6EB456B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强化重点群体就业保障</w:t>
            </w:r>
          </w:p>
        </w:tc>
        <w:tc>
          <w:tcPr>
            <w:tcW w:w="6360" w:type="dxa"/>
            <w:shd w:val="clear" w:color="auto" w:fill="auto"/>
            <w:vAlign w:val="center"/>
          </w:tcPr>
          <w:p w14:paraId="015423F8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运用“海右人才就业数智化平台”重塑就业服务流程，提升人岗匹配效率。</w:t>
            </w:r>
          </w:p>
        </w:tc>
        <w:tc>
          <w:tcPr>
            <w:tcW w:w="1843" w:type="dxa"/>
            <w:vAlign w:val="center"/>
          </w:tcPr>
          <w:p w14:paraId="7F5FA731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71748197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区人力资源社会保障局</w:t>
            </w:r>
          </w:p>
        </w:tc>
      </w:tr>
      <w:tr w14:paraId="11F9F1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73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38970E61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56</w:t>
            </w:r>
          </w:p>
        </w:tc>
        <w:tc>
          <w:tcPr>
            <w:tcW w:w="992" w:type="dxa"/>
            <w:vMerge w:val="continue"/>
            <w:vAlign w:val="center"/>
          </w:tcPr>
          <w:p w14:paraId="28E3F7AA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96CE596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shd w:val="clear" w:color="auto" w:fill="auto"/>
            <w:vAlign w:val="center"/>
          </w:tcPr>
          <w:p w14:paraId="5B4E8B47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通过打造“双圈融合”服务新模式，将就业服务与便民生活紧密结合，精准打通服务“最后一公里”，促进高校毕业生、农村劳动力、困难人员等实现更高质量充分就业，全年实现新增城镇就业2200人。</w:t>
            </w:r>
          </w:p>
        </w:tc>
        <w:tc>
          <w:tcPr>
            <w:tcW w:w="1843" w:type="dxa"/>
            <w:vAlign w:val="center"/>
          </w:tcPr>
          <w:p w14:paraId="12571568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10570343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区人力资源社会保障局</w:t>
            </w:r>
          </w:p>
        </w:tc>
      </w:tr>
      <w:tr w14:paraId="172742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36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7137EDD2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57</w:t>
            </w:r>
          </w:p>
        </w:tc>
        <w:tc>
          <w:tcPr>
            <w:tcW w:w="992" w:type="dxa"/>
            <w:vMerge w:val="continue"/>
            <w:vAlign w:val="center"/>
          </w:tcPr>
          <w:p w14:paraId="32907D2C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806601D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shd w:val="clear" w:color="auto" w:fill="auto"/>
            <w:vAlign w:val="center"/>
          </w:tcPr>
          <w:p w14:paraId="486D8E10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精准培育产业发展人才，赴高校及职业院校开展招聘活动4次，强化重点企业与职业院校、技工学校等就业联动。</w:t>
            </w:r>
          </w:p>
        </w:tc>
        <w:tc>
          <w:tcPr>
            <w:tcW w:w="1843" w:type="dxa"/>
            <w:vAlign w:val="center"/>
          </w:tcPr>
          <w:p w14:paraId="30F52118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0C615B63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区人力资源社会保障局</w:t>
            </w:r>
          </w:p>
        </w:tc>
      </w:tr>
      <w:tr w14:paraId="62A723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12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447D6CBE">
            <w:pPr>
              <w:widowControl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58</w:t>
            </w:r>
          </w:p>
        </w:tc>
        <w:tc>
          <w:tcPr>
            <w:tcW w:w="992" w:type="dxa"/>
            <w:vMerge w:val="continue"/>
            <w:vAlign w:val="center"/>
          </w:tcPr>
          <w:p w14:paraId="1354D05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E4FAC7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33512B3C">
            <w:pPr>
              <w:spacing w:line="28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支持培训机构围绕绿色低碳、急需紧缺工种、新兴职业等领域，开展各类技能培训3000人次，精准培育产业发展急需的技能人才。</w:t>
            </w:r>
          </w:p>
        </w:tc>
        <w:tc>
          <w:tcPr>
            <w:tcW w:w="1843" w:type="dxa"/>
            <w:vAlign w:val="center"/>
          </w:tcPr>
          <w:p w14:paraId="7E66F0D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19F1E75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区人力资源社会保障局</w:t>
            </w:r>
          </w:p>
        </w:tc>
      </w:tr>
      <w:tr w14:paraId="23FC65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26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7F0026DD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59</w:t>
            </w:r>
          </w:p>
        </w:tc>
        <w:tc>
          <w:tcPr>
            <w:tcW w:w="992" w:type="dxa"/>
            <w:vMerge w:val="restart"/>
            <w:vAlign w:val="center"/>
          </w:tcPr>
          <w:p w14:paraId="6D488483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保障各类经营主体公平竞争</w:t>
            </w:r>
          </w:p>
        </w:tc>
        <w:tc>
          <w:tcPr>
            <w:tcW w:w="1134" w:type="dxa"/>
            <w:vMerge w:val="restart"/>
            <w:vAlign w:val="center"/>
          </w:tcPr>
          <w:p w14:paraId="2AF5DA74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落实公平竞争审查制度</w:t>
            </w:r>
          </w:p>
        </w:tc>
        <w:tc>
          <w:tcPr>
            <w:tcW w:w="6360" w:type="dxa"/>
            <w:vAlign w:val="center"/>
          </w:tcPr>
          <w:p w14:paraId="6EBF4D4E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强化重大政策公平竞争审查，提升政策制定部门的风险研判能力，清理妨碍统一市场和公平竞争的政策措施。</w:t>
            </w:r>
          </w:p>
        </w:tc>
        <w:tc>
          <w:tcPr>
            <w:tcW w:w="1843" w:type="dxa"/>
            <w:vAlign w:val="center"/>
          </w:tcPr>
          <w:p w14:paraId="671B2EF1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0B37BE65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区市场监管局、区行政审批服务局</w:t>
            </w:r>
          </w:p>
        </w:tc>
      </w:tr>
      <w:tr w14:paraId="14D470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28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2FAD2009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60</w:t>
            </w:r>
          </w:p>
        </w:tc>
        <w:tc>
          <w:tcPr>
            <w:tcW w:w="992" w:type="dxa"/>
            <w:vMerge w:val="continue"/>
            <w:vAlign w:val="center"/>
          </w:tcPr>
          <w:p w14:paraId="2BB960C7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96286A7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2CD642E5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畅通投诉举报渠道，严防恶意低价竞争和不当竞争。</w:t>
            </w:r>
          </w:p>
        </w:tc>
        <w:tc>
          <w:tcPr>
            <w:tcW w:w="1843" w:type="dxa"/>
            <w:vAlign w:val="center"/>
          </w:tcPr>
          <w:p w14:paraId="3AA1635A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3832C5C6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区市场监管局、区行政审批服务局</w:t>
            </w:r>
          </w:p>
        </w:tc>
      </w:tr>
      <w:tr w14:paraId="0BC8EE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27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34918FB0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61</w:t>
            </w:r>
          </w:p>
        </w:tc>
        <w:tc>
          <w:tcPr>
            <w:tcW w:w="992" w:type="dxa"/>
            <w:vMerge w:val="continue"/>
            <w:vAlign w:val="center"/>
          </w:tcPr>
          <w:p w14:paraId="4666A848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0A3FD46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便捷企业准入退出</w:t>
            </w:r>
          </w:p>
        </w:tc>
        <w:tc>
          <w:tcPr>
            <w:tcW w:w="6360" w:type="dxa"/>
            <w:vAlign w:val="center"/>
          </w:tcPr>
          <w:p w14:paraId="3A75C9C7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严格落实“全国一张清单”管理模式，扎实推进《市场准入负面清单》落地实施。</w:t>
            </w:r>
          </w:p>
        </w:tc>
        <w:tc>
          <w:tcPr>
            <w:tcW w:w="1843" w:type="dxa"/>
            <w:vAlign w:val="center"/>
          </w:tcPr>
          <w:p w14:paraId="28E072DC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37C4CEA8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区发展改革局、区市场监管局、区行政审批服务局</w:t>
            </w:r>
          </w:p>
        </w:tc>
      </w:tr>
      <w:tr w14:paraId="38C305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67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39ABEB1D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62</w:t>
            </w:r>
          </w:p>
        </w:tc>
        <w:tc>
          <w:tcPr>
            <w:tcW w:w="992" w:type="dxa"/>
            <w:vMerge w:val="continue"/>
            <w:vAlign w:val="center"/>
          </w:tcPr>
          <w:p w14:paraId="0B6D85CE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0268A3F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78BDB4CB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开展市场准入壁垒专项清理行动，推动商事登记“综合办、简易办、一站式”服务。畅通企业退出渠道，提高企业迁入迁出便利度，深入推进个转企“一件事”。</w:t>
            </w:r>
          </w:p>
        </w:tc>
        <w:tc>
          <w:tcPr>
            <w:tcW w:w="1843" w:type="dxa"/>
            <w:vAlign w:val="center"/>
          </w:tcPr>
          <w:p w14:paraId="2B3F1896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5041C9D4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区发展改革局、区市场监管局、区行政审批服务局</w:t>
            </w:r>
          </w:p>
        </w:tc>
      </w:tr>
      <w:tr w14:paraId="51EEAC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83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2879F857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63</w:t>
            </w:r>
          </w:p>
        </w:tc>
        <w:tc>
          <w:tcPr>
            <w:tcW w:w="992" w:type="dxa"/>
            <w:vMerge w:val="continue"/>
            <w:vAlign w:val="center"/>
          </w:tcPr>
          <w:p w14:paraId="68053C15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A3296A9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规范政府采购与招投标</w:t>
            </w:r>
          </w:p>
        </w:tc>
        <w:tc>
          <w:tcPr>
            <w:tcW w:w="6360" w:type="dxa"/>
            <w:vAlign w:val="center"/>
          </w:tcPr>
          <w:p w14:paraId="6B4E35CD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强化政府采购智慧监管，加大政府采购信息公开力度。开展政府采购和招投标领域专项整治，严禁违法违规行为和差别待遇。</w:t>
            </w:r>
          </w:p>
        </w:tc>
        <w:tc>
          <w:tcPr>
            <w:tcW w:w="1843" w:type="dxa"/>
            <w:vAlign w:val="center"/>
          </w:tcPr>
          <w:p w14:paraId="0E52D8D8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113EC2DA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区财政局、区发展改革局、区行政审批服务局</w:t>
            </w:r>
          </w:p>
        </w:tc>
      </w:tr>
      <w:tr w14:paraId="6E6E71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81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70421D59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64</w:t>
            </w:r>
          </w:p>
        </w:tc>
        <w:tc>
          <w:tcPr>
            <w:tcW w:w="992" w:type="dxa"/>
            <w:vMerge w:val="continue"/>
            <w:vAlign w:val="center"/>
          </w:tcPr>
          <w:p w14:paraId="51874ADB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2FE8879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</w:rPr>
            </w:pPr>
          </w:p>
        </w:tc>
        <w:tc>
          <w:tcPr>
            <w:tcW w:w="6360" w:type="dxa"/>
            <w:vAlign w:val="center"/>
          </w:tcPr>
          <w:p w14:paraId="4286EEAA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推行政府采购联合征集，入围供应商协议期内无需重复投标，推动项目采购周期平均压缩3个工作日。</w:t>
            </w:r>
          </w:p>
        </w:tc>
        <w:tc>
          <w:tcPr>
            <w:tcW w:w="1843" w:type="dxa"/>
            <w:vAlign w:val="center"/>
          </w:tcPr>
          <w:p w14:paraId="10C1E4C8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55C272AA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区财政局、区发展改革局、区行政审批服务局</w:t>
            </w:r>
          </w:p>
        </w:tc>
      </w:tr>
      <w:tr w14:paraId="5E8E9A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98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2061A177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65</w:t>
            </w:r>
          </w:p>
        </w:tc>
        <w:tc>
          <w:tcPr>
            <w:tcW w:w="992" w:type="dxa"/>
            <w:vMerge w:val="continue"/>
            <w:vAlign w:val="center"/>
          </w:tcPr>
          <w:p w14:paraId="375F3AC5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9D62F6A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62D28FCF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严格落实政府采购项目预留中小企业份额，提高政府采购价格扣除评审优惠幅度。鼓励国企民企联合投标，推动民营企业充分参与大型工程建设竞争。</w:t>
            </w:r>
          </w:p>
        </w:tc>
        <w:tc>
          <w:tcPr>
            <w:tcW w:w="1843" w:type="dxa"/>
            <w:vAlign w:val="center"/>
          </w:tcPr>
          <w:p w14:paraId="733C1131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09A06CC3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区财政局、区发展改革局、区行政审批服务局</w:t>
            </w:r>
          </w:p>
        </w:tc>
      </w:tr>
      <w:tr w14:paraId="578C7D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98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07205617">
            <w:pPr>
              <w:widowControl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66</w:t>
            </w:r>
          </w:p>
        </w:tc>
        <w:tc>
          <w:tcPr>
            <w:tcW w:w="992" w:type="dxa"/>
            <w:vMerge w:val="continue"/>
            <w:vAlign w:val="center"/>
          </w:tcPr>
          <w:p w14:paraId="5F50341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E80831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45E1EE36">
            <w:pPr>
              <w:spacing w:line="28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强化智能辅助评标，提升电子交易系统智能化水平。大力推广远程异地评标，开展省内专家就近评审，强化与专家资源密集城市的合作，扩容远程异地评标“朋友圈”。</w:t>
            </w:r>
          </w:p>
        </w:tc>
        <w:tc>
          <w:tcPr>
            <w:tcW w:w="1843" w:type="dxa"/>
            <w:vAlign w:val="center"/>
          </w:tcPr>
          <w:p w14:paraId="07E2657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49593A7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区行政审批服务局、区发展改革局、区财政局</w:t>
            </w:r>
          </w:p>
        </w:tc>
      </w:tr>
      <w:tr w14:paraId="1823C9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99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48962263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67</w:t>
            </w:r>
          </w:p>
        </w:tc>
        <w:tc>
          <w:tcPr>
            <w:tcW w:w="992" w:type="dxa"/>
            <w:vMerge w:val="restart"/>
            <w:vAlign w:val="center"/>
          </w:tcPr>
          <w:p w14:paraId="17418C14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推动涉企检查“规范高效、无事不扰”</w:t>
            </w:r>
          </w:p>
        </w:tc>
        <w:tc>
          <w:tcPr>
            <w:tcW w:w="1134" w:type="dxa"/>
            <w:vMerge w:val="restart"/>
            <w:vAlign w:val="center"/>
          </w:tcPr>
          <w:p w14:paraId="25C5C925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规范涉企执法检查</w:t>
            </w:r>
          </w:p>
        </w:tc>
        <w:tc>
          <w:tcPr>
            <w:tcW w:w="6360" w:type="dxa"/>
            <w:vAlign w:val="center"/>
          </w:tcPr>
          <w:p w14:paraId="3A148117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开展涉企行政执法规范化建设年行动，狠纠乱检查、乱罚款、乱收费、乱查封问题。建立行政执法案例指导制度，推动“同案同办”。</w:t>
            </w:r>
          </w:p>
        </w:tc>
        <w:tc>
          <w:tcPr>
            <w:tcW w:w="1843" w:type="dxa"/>
            <w:vAlign w:val="center"/>
          </w:tcPr>
          <w:p w14:paraId="05EB3B17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4594CEF2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区司法局</w:t>
            </w:r>
          </w:p>
        </w:tc>
      </w:tr>
      <w:tr w14:paraId="641514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85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40804211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68</w:t>
            </w:r>
          </w:p>
        </w:tc>
        <w:tc>
          <w:tcPr>
            <w:tcW w:w="992" w:type="dxa"/>
            <w:vMerge w:val="continue"/>
            <w:vAlign w:val="center"/>
          </w:tcPr>
          <w:p w14:paraId="15DF6C7A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8B367AA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126614B8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深化“鲁执法”平台应用和数据监测，科学管控涉企行政检查次数，强化检查审批程序，实现对涉企行政检查有效监管。年内完成执法人员培训600人次以上，提高涉企执法精准性和科学性。</w:t>
            </w:r>
          </w:p>
        </w:tc>
        <w:tc>
          <w:tcPr>
            <w:tcW w:w="1843" w:type="dxa"/>
            <w:vAlign w:val="center"/>
          </w:tcPr>
          <w:p w14:paraId="632FA6FF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589C513C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区司法局</w:t>
            </w:r>
          </w:p>
        </w:tc>
      </w:tr>
      <w:tr w14:paraId="3AAB0B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536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7A3DFDC2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69</w:t>
            </w:r>
          </w:p>
        </w:tc>
        <w:tc>
          <w:tcPr>
            <w:tcW w:w="992" w:type="dxa"/>
            <w:vMerge w:val="continue"/>
            <w:vAlign w:val="center"/>
          </w:tcPr>
          <w:p w14:paraId="365B783C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5380A10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提升监管质量</w:t>
            </w:r>
          </w:p>
        </w:tc>
        <w:tc>
          <w:tcPr>
            <w:tcW w:w="6360" w:type="dxa"/>
            <w:vAlign w:val="center"/>
          </w:tcPr>
          <w:p w14:paraId="21CABCE4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推行包容审慎精准监管，严格落实“首违不罚”“轻微免罚”和济南市行政处罚“四张清单”。运用大数据、人工智能等技术拓展“非现场监管”，推动监管执法效能革新。</w:t>
            </w:r>
          </w:p>
        </w:tc>
        <w:tc>
          <w:tcPr>
            <w:tcW w:w="1843" w:type="dxa"/>
            <w:vAlign w:val="center"/>
          </w:tcPr>
          <w:p w14:paraId="6316BC2B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2026年6月底</w:t>
            </w:r>
          </w:p>
        </w:tc>
        <w:tc>
          <w:tcPr>
            <w:tcW w:w="2126" w:type="dxa"/>
            <w:vAlign w:val="center"/>
          </w:tcPr>
          <w:p w14:paraId="2C1EB038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区司法局、区发展改革局、区市场监管局、区城管局、市生态环境局钢城分局</w:t>
            </w:r>
          </w:p>
        </w:tc>
      </w:tr>
      <w:tr w14:paraId="5A32BF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91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0A42A457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70</w:t>
            </w:r>
          </w:p>
        </w:tc>
        <w:tc>
          <w:tcPr>
            <w:tcW w:w="992" w:type="dxa"/>
            <w:vMerge w:val="continue"/>
            <w:vAlign w:val="center"/>
          </w:tcPr>
          <w:p w14:paraId="3C61236E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3AC1489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15EF0A3C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规范整治涉企收费，依规公示政府定价管理的经营服务性收费目录清单，实现涉企收费一张清单全覆盖。</w:t>
            </w:r>
          </w:p>
        </w:tc>
        <w:tc>
          <w:tcPr>
            <w:tcW w:w="1843" w:type="dxa"/>
            <w:vAlign w:val="center"/>
          </w:tcPr>
          <w:p w14:paraId="336142AB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2026年6月底</w:t>
            </w:r>
          </w:p>
        </w:tc>
        <w:tc>
          <w:tcPr>
            <w:tcW w:w="2126" w:type="dxa"/>
            <w:vAlign w:val="center"/>
          </w:tcPr>
          <w:p w14:paraId="600F383D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区发展改革局、区市场监管局、区城管局、市生态环境局钢城分局</w:t>
            </w:r>
          </w:p>
        </w:tc>
      </w:tr>
      <w:tr w14:paraId="57BC47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24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73293575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71</w:t>
            </w:r>
          </w:p>
        </w:tc>
        <w:tc>
          <w:tcPr>
            <w:tcW w:w="992" w:type="dxa"/>
            <w:vMerge w:val="continue"/>
            <w:vAlign w:val="center"/>
          </w:tcPr>
          <w:p w14:paraId="3248CAA0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445DA0D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加强法治服务保障</w:t>
            </w:r>
          </w:p>
        </w:tc>
        <w:tc>
          <w:tcPr>
            <w:tcW w:w="6360" w:type="dxa"/>
            <w:vAlign w:val="center"/>
          </w:tcPr>
          <w:p w14:paraId="18985D46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引导各行业主管部门落实行政处罚决定书和信用修复告知书“两书同达”政策，实现具备修复条件的企业“应修尽修”。</w:t>
            </w:r>
          </w:p>
        </w:tc>
        <w:tc>
          <w:tcPr>
            <w:tcW w:w="1843" w:type="dxa"/>
            <w:vAlign w:val="center"/>
          </w:tcPr>
          <w:p w14:paraId="22969A00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2026年6月底</w:t>
            </w:r>
          </w:p>
        </w:tc>
        <w:tc>
          <w:tcPr>
            <w:tcW w:w="2126" w:type="dxa"/>
            <w:vAlign w:val="center"/>
          </w:tcPr>
          <w:p w14:paraId="735AA1DE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区发展改革局、区市场监管局</w:t>
            </w:r>
          </w:p>
        </w:tc>
      </w:tr>
      <w:tr w14:paraId="41F122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26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16D856C8">
            <w:pPr>
              <w:widowControl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72</w:t>
            </w:r>
          </w:p>
        </w:tc>
        <w:tc>
          <w:tcPr>
            <w:tcW w:w="992" w:type="dxa"/>
            <w:vMerge w:val="continue"/>
            <w:vAlign w:val="center"/>
          </w:tcPr>
          <w:p w14:paraId="0ECE041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C28126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357B75A9">
            <w:pPr>
              <w:spacing w:line="28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加大企业失信惩戒力度，建立失信信息共享机制，实现信息实时推送与惩戒协同。</w:t>
            </w:r>
          </w:p>
        </w:tc>
        <w:tc>
          <w:tcPr>
            <w:tcW w:w="1843" w:type="dxa"/>
            <w:vAlign w:val="center"/>
          </w:tcPr>
          <w:p w14:paraId="5E413D1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2026年6月底</w:t>
            </w:r>
          </w:p>
        </w:tc>
        <w:tc>
          <w:tcPr>
            <w:tcW w:w="2126" w:type="dxa"/>
            <w:vAlign w:val="center"/>
          </w:tcPr>
          <w:p w14:paraId="23EA587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区发展改革局、区市场监管局</w:t>
            </w:r>
          </w:p>
        </w:tc>
      </w:tr>
      <w:tr w14:paraId="064DE4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98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50B00178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73</w:t>
            </w:r>
          </w:p>
        </w:tc>
        <w:tc>
          <w:tcPr>
            <w:tcW w:w="992" w:type="dxa"/>
            <w:vAlign w:val="center"/>
          </w:tcPr>
          <w:p w14:paraId="0C56455A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强化知识产权保护运用</w:t>
            </w:r>
          </w:p>
        </w:tc>
        <w:tc>
          <w:tcPr>
            <w:tcW w:w="1134" w:type="dxa"/>
            <w:vAlign w:val="center"/>
          </w:tcPr>
          <w:p w14:paraId="43D98AB5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开展知识产权保护专项行动，依法打击侵权假冒行为</w:t>
            </w:r>
          </w:p>
        </w:tc>
        <w:tc>
          <w:tcPr>
            <w:tcW w:w="6360" w:type="dxa"/>
            <w:vAlign w:val="center"/>
          </w:tcPr>
          <w:p w14:paraId="389829ED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深化知识产权刑事、民事、行政、公益诉讼“一案四查”机制，严厉打击损害企业关键核心技术的侵犯商业秘密行为。强化法律服务收费监管，完善明码标价公示机制。</w:t>
            </w:r>
          </w:p>
        </w:tc>
        <w:tc>
          <w:tcPr>
            <w:tcW w:w="1843" w:type="dxa"/>
            <w:vAlign w:val="center"/>
          </w:tcPr>
          <w:p w14:paraId="3CBC0FE5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26A649BD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区司法局、区市场监管局、区检察院</w:t>
            </w:r>
          </w:p>
        </w:tc>
      </w:tr>
      <w:tr w14:paraId="192BA8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70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13E9B494">
            <w:pPr>
              <w:widowControl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74</w:t>
            </w:r>
          </w:p>
        </w:tc>
        <w:tc>
          <w:tcPr>
            <w:tcW w:w="992" w:type="dxa"/>
            <w:vAlign w:val="center"/>
          </w:tcPr>
          <w:p w14:paraId="5E44B13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强化知识产权保护运用</w:t>
            </w:r>
          </w:p>
        </w:tc>
        <w:tc>
          <w:tcPr>
            <w:tcW w:w="1134" w:type="dxa"/>
            <w:vAlign w:val="center"/>
          </w:tcPr>
          <w:p w14:paraId="3F10761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开展知识产权保护专项行动，</w:t>
            </w:r>
            <w:bookmarkStart w:id="4" w:name="OLE_LINK11"/>
            <w:bookmarkStart w:id="5" w:name="OLE_LINK12"/>
            <w:r>
              <w:rPr>
                <w:rFonts w:hint="eastAsia" w:ascii="宋体" w:hAnsi="宋体" w:eastAsia="仿宋_GB2312" w:cs="仿宋_GB2312"/>
                <w:bCs/>
                <w:sz w:val="24"/>
              </w:rPr>
              <w:t>依法打击侵权假冒行为</w:t>
            </w:r>
            <w:bookmarkEnd w:id="4"/>
            <w:bookmarkEnd w:id="5"/>
          </w:p>
        </w:tc>
        <w:tc>
          <w:tcPr>
            <w:tcW w:w="6360" w:type="dxa"/>
            <w:vAlign w:val="center"/>
          </w:tcPr>
          <w:p w14:paraId="26953489">
            <w:pPr>
              <w:spacing w:line="28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探索数据知识产权融资新模式，鼓励企业开展数据知识产权存证登记。</w:t>
            </w:r>
          </w:p>
        </w:tc>
        <w:tc>
          <w:tcPr>
            <w:tcW w:w="1843" w:type="dxa"/>
            <w:vAlign w:val="center"/>
          </w:tcPr>
          <w:p w14:paraId="1173E98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5D6077B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区市场监管局、区检察院</w:t>
            </w:r>
          </w:p>
        </w:tc>
      </w:tr>
      <w:tr w14:paraId="672B9A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91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38CC916F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75</w:t>
            </w:r>
          </w:p>
        </w:tc>
        <w:tc>
          <w:tcPr>
            <w:tcW w:w="992" w:type="dxa"/>
            <w:vMerge w:val="restart"/>
            <w:vAlign w:val="center"/>
          </w:tcPr>
          <w:p w14:paraId="3497676F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依法保护企业合法权益</w:t>
            </w:r>
          </w:p>
        </w:tc>
        <w:tc>
          <w:tcPr>
            <w:tcW w:w="1134" w:type="dxa"/>
            <w:vAlign w:val="center"/>
          </w:tcPr>
          <w:p w14:paraId="3CEEE20C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治理牟利性索赔举报</w:t>
            </w:r>
          </w:p>
        </w:tc>
        <w:tc>
          <w:tcPr>
            <w:tcW w:w="6360" w:type="dxa"/>
            <w:vAlign w:val="center"/>
          </w:tcPr>
          <w:p w14:paraId="3216E0BE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探索职业索赔多维识别模型，提高非正常投诉识别精准度，依法治理职业索赔、职业举报乱象，健全“职业索赔信息名录”，建立“职业索赔信息名录”共享和应用机制，压缩职业索赔、举报牟利空间。</w:t>
            </w:r>
          </w:p>
        </w:tc>
        <w:tc>
          <w:tcPr>
            <w:tcW w:w="1843" w:type="dxa"/>
            <w:vAlign w:val="center"/>
          </w:tcPr>
          <w:p w14:paraId="1A90F0B9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64DF909B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区市场监管局</w:t>
            </w:r>
            <w:r>
              <w:rPr>
                <w:rFonts w:hint="eastAsia" w:ascii="宋体" w:hAnsi="宋体" w:eastAsia="仿宋_GB2312" w:cs="仿宋_GB2312"/>
                <w:bCs/>
                <w:sz w:val="24"/>
              </w:rPr>
              <w:br w:type="textWrapping"/>
            </w:r>
            <w:r>
              <w:rPr>
                <w:rFonts w:hint="eastAsia" w:ascii="宋体" w:hAnsi="宋体" w:eastAsia="仿宋_GB2312" w:cs="仿宋_GB2312"/>
                <w:bCs/>
                <w:sz w:val="24"/>
              </w:rPr>
              <w:t>区司法局</w:t>
            </w:r>
          </w:p>
        </w:tc>
      </w:tr>
      <w:tr w14:paraId="04417A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68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204DDA68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76</w:t>
            </w:r>
          </w:p>
        </w:tc>
        <w:tc>
          <w:tcPr>
            <w:tcW w:w="992" w:type="dxa"/>
            <w:vMerge w:val="continue"/>
            <w:vAlign w:val="center"/>
          </w:tcPr>
          <w:p w14:paraId="5782E67A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B379E1B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优化网络营商环境</w:t>
            </w:r>
          </w:p>
        </w:tc>
        <w:tc>
          <w:tcPr>
            <w:tcW w:w="6360" w:type="dxa"/>
            <w:vAlign w:val="center"/>
          </w:tcPr>
          <w:p w14:paraId="061F5ED8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优化涉企网络侵权举报联动机制，建立举报受理快速通道，严厉打击网络涉企违法违规行为。</w:t>
            </w:r>
          </w:p>
        </w:tc>
        <w:tc>
          <w:tcPr>
            <w:tcW w:w="1843" w:type="dxa"/>
            <w:vAlign w:val="center"/>
          </w:tcPr>
          <w:p w14:paraId="45826074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78BC7B91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区委网信办、区法院、区检察院、市公安局钢城分局</w:t>
            </w:r>
          </w:p>
        </w:tc>
      </w:tr>
      <w:tr w14:paraId="69CDA9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84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12171EF9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77</w:t>
            </w:r>
          </w:p>
        </w:tc>
        <w:tc>
          <w:tcPr>
            <w:tcW w:w="992" w:type="dxa"/>
            <w:vMerge w:val="continue"/>
            <w:vAlign w:val="center"/>
          </w:tcPr>
          <w:p w14:paraId="3992ACC1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BDF6A59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7FBF26DA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加强涉企网络舆情服务保障，及时防范化解舆情风险。</w:t>
            </w:r>
          </w:p>
        </w:tc>
        <w:tc>
          <w:tcPr>
            <w:tcW w:w="1843" w:type="dxa"/>
            <w:vAlign w:val="center"/>
          </w:tcPr>
          <w:p w14:paraId="368091B0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17A8E383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区委网信办、区法院、区检察院、市公安局钢城分局</w:t>
            </w:r>
          </w:p>
        </w:tc>
      </w:tr>
      <w:tr w14:paraId="6F604E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93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60405C7E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78</w:t>
            </w:r>
          </w:p>
        </w:tc>
        <w:tc>
          <w:tcPr>
            <w:tcW w:w="992" w:type="dxa"/>
            <w:vMerge w:val="continue"/>
            <w:vAlign w:val="center"/>
          </w:tcPr>
          <w:p w14:paraId="2A33591C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D733963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持续治理拖欠企业账款问题</w:t>
            </w:r>
          </w:p>
        </w:tc>
        <w:tc>
          <w:tcPr>
            <w:tcW w:w="6360" w:type="dxa"/>
            <w:shd w:val="clear" w:color="auto" w:fill="auto"/>
            <w:vAlign w:val="center"/>
          </w:tcPr>
          <w:p w14:paraId="0FEB6749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落实“谁欠款，谁清偿，谁负责”原则，压实拖欠主体责任，动态完善分类台账，督导政府部门及国有企业多措并举加快清偿，实现存量拖欠企业账款清单化推进解决，源头防范新增拖欠问题。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60C316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530576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区工业信息化和</w:t>
            </w:r>
          </w:p>
          <w:p w14:paraId="146CD13E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科技局</w:t>
            </w:r>
          </w:p>
        </w:tc>
      </w:tr>
      <w:tr w14:paraId="741E28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52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64387C15">
            <w:pPr>
              <w:widowControl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79</w:t>
            </w:r>
          </w:p>
        </w:tc>
        <w:tc>
          <w:tcPr>
            <w:tcW w:w="992" w:type="dxa"/>
            <w:vMerge w:val="continue"/>
            <w:vAlign w:val="center"/>
          </w:tcPr>
          <w:p w14:paraId="4A398281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531F91C">
            <w:pPr>
              <w:overflowPunct w:val="0"/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vAlign w:val="center"/>
          </w:tcPr>
          <w:p w14:paraId="7524AA19">
            <w:pPr>
              <w:spacing w:line="28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深化府院联动，积极开展拖欠企业账款案件专项执行行动，强化“立审执”协同配合，推动拖欠单位及时履行义务，加快办案进度。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54F92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vAlign w:val="center"/>
          </w:tcPr>
          <w:p w14:paraId="2D9297C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区法院</w:t>
            </w:r>
          </w:p>
        </w:tc>
      </w:tr>
      <w:tr w14:paraId="2D549C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96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5772EEE5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80</w:t>
            </w:r>
          </w:p>
        </w:tc>
        <w:tc>
          <w:tcPr>
            <w:tcW w:w="992" w:type="dxa"/>
            <w:vAlign w:val="center"/>
          </w:tcPr>
          <w:p w14:paraId="007F3F19">
            <w:pPr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优化商事纠纷多元化解服务</w:t>
            </w:r>
          </w:p>
        </w:tc>
        <w:tc>
          <w:tcPr>
            <w:tcW w:w="1134" w:type="dxa"/>
            <w:vAlign w:val="center"/>
          </w:tcPr>
          <w:p w14:paraId="2236A84C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强化非诉讼纠纷解决机制优先适用</w:t>
            </w:r>
          </w:p>
        </w:tc>
        <w:tc>
          <w:tcPr>
            <w:tcW w:w="6360" w:type="dxa"/>
            <w:shd w:val="clear" w:color="auto" w:fill="auto"/>
            <w:vAlign w:val="center"/>
          </w:tcPr>
          <w:p w14:paraId="2D012170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依托综治中心规范化建设，采取8个涉访重点部门常驻、12个部门轮驻的运行模式，推动涉企及邻里纠纷就近受理、就地调处、闭环处置。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1721A2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0B99E37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区委政法委</w:t>
            </w:r>
          </w:p>
        </w:tc>
      </w:tr>
      <w:tr w14:paraId="264589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15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1742BD62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81</w:t>
            </w:r>
          </w:p>
        </w:tc>
        <w:tc>
          <w:tcPr>
            <w:tcW w:w="992" w:type="dxa"/>
            <w:vMerge w:val="restart"/>
            <w:vAlign w:val="center"/>
          </w:tcPr>
          <w:p w14:paraId="797E5406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优化商事纠纷多元化解服务</w:t>
            </w:r>
          </w:p>
        </w:tc>
        <w:tc>
          <w:tcPr>
            <w:tcW w:w="1134" w:type="dxa"/>
            <w:vMerge w:val="restart"/>
            <w:vAlign w:val="center"/>
          </w:tcPr>
          <w:p w14:paraId="5860FA9D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强化非诉讼纠纷解决机制优先适用</w:t>
            </w:r>
          </w:p>
        </w:tc>
        <w:tc>
          <w:tcPr>
            <w:tcW w:w="6360" w:type="dxa"/>
            <w:shd w:val="clear" w:color="auto" w:fill="auto"/>
            <w:vAlign w:val="center"/>
          </w:tcPr>
          <w:p w14:paraId="062B46DA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培育发展钢城区知识产权纠纷人民调解委员会等6个行业性、专业性调解组织，提升矛盾纠纷化解能力。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82536A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2CF0876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区司法局、区法院</w:t>
            </w:r>
          </w:p>
        </w:tc>
      </w:tr>
      <w:tr w14:paraId="4D1E9C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89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7ED185D6">
            <w:pPr>
              <w:widowControl/>
              <w:overflowPunct w:val="0"/>
              <w:ind w:left="454" w:hanging="454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82</w:t>
            </w:r>
          </w:p>
        </w:tc>
        <w:tc>
          <w:tcPr>
            <w:tcW w:w="992" w:type="dxa"/>
            <w:vMerge w:val="continue"/>
            <w:vAlign w:val="center"/>
          </w:tcPr>
          <w:p w14:paraId="6593B2D5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 w14:paraId="1DDDDCC7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shd w:val="clear" w:color="auto" w:fill="auto"/>
            <w:vAlign w:val="center"/>
          </w:tcPr>
          <w:p w14:paraId="22566F3B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建立矛盾纠纷联合调处机制，整合公证等非诉讼纠纷解决资源，充分发挥诉前调解职能，推动诉源治理提质增效。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239ED9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39D9B9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区司法局、区法院</w:t>
            </w:r>
          </w:p>
        </w:tc>
      </w:tr>
      <w:tr w14:paraId="422E39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94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111C3693">
            <w:pPr>
              <w:widowControl/>
              <w:overflowPunct w:val="0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83</w:t>
            </w:r>
          </w:p>
        </w:tc>
        <w:tc>
          <w:tcPr>
            <w:tcW w:w="992" w:type="dxa"/>
            <w:vMerge w:val="continue"/>
            <w:vAlign w:val="center"/>
          </w:tcPr>
          <w:p w14:paraId="67C1C6B6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99AB04B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提升涉企司法效能</w:t>
            </w:r>
          </w:p>
        </w:tc>
        <w:tc>
          <w:tcPr>
            <w:tcW w:w="6360" w:type="dxa"/>
            <w:shd w:val="clear" w:color="auto" w:fill="auto"/>
            <w:vAlign w:val="center"/>
          </w:tcPr>
          <w:p w14:paraId="2ACB8571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规范财产保全案件办理流程，严禁超诉讼标的查封，最大限度降低司法强制措施对企业正常生产经营活动的影响。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D92393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75A0E9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区法院</w:t>
            </w:r>
          </w:p>
        </w:tc>
      </w:tr>
      <w:tr w14:paraId="4F6053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94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34A0ECF8">
            <w:pPr>
              <w:widowControl/>
              <w:overflowPunct w:val="0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84</w:t>
            </w:r>
          </w:p>
        </w:tc>
        <w:tc>
          <w:tcPr>
            <w:tcW w:w="992" w:type="dxa"/>
            <w:vMerge w:val="continue"/>
            <w:vAlign w:val="center"/>
          </w:tcPr>
          <w:p w14:paraId="6BE81F5C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 w14:paraId="0F1167EE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shd w:val="clear" w:color="auto" w:fill="auto"/>
            <w:vAlign w:val="center"/>
          </w:tcPr>
          <w:p w14:paraId="3C519847">
            <w:pPr>
              <w:overflowPunct w:val="0"/>
              <w:spacing w:line="280" w:lineRule="exact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协同开展“示范性诉讼+批量化调解”，选取代表性案件先行示范调解或审判，并以其结果指导同类纠纷高效调解，促推源头化解。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ADB818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4F346B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区法院</w:t>
            </w:r>
          </w:p>
        </w:tc>
      </w:tr>
      <w:tr w14:paraId="4E7A54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94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04D51E43">
            <w:pPr>
              <w:widowControl/>
              <w:overflowPunct w:val="0"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8</w:t>
            </w:r>
            <w:r>
              <w:rPr>
                <w:rFonts w:ascii="宋体" w:hAnsi="宋体"/>
                <w:bCs/>
                <w:sz w:val="24"/>
              </w:rPr>
              <w:t>5</w:t>
            </w:r>
          </w:p>
        </w:tc>
        <w:tc>
          <w:tcPr>
            <w:tcW w:w="992" w:type="dxa"/>
            <w:vMerge w:val="continue"/>
            <w:vAlign w:val="center"/>
          </w:tcPr>
          <w:p w14:paraId="0E265736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78E1225">
            <w:pPr>
              <w:overflowPunct w:val="0"/>
              <w:spacing w:line="280" w:lineRule="exact"/>
              <w:jc w:val="center"/>
              <w:rPr>
                <w:rFonts w:ascii="宋体" w:hAnsi="宋体" w:eastAsia="仿宋_GB2312" w:cs="仿宋_GB2312"/>
                <w:bCs/>
                <w:sz w:val="24"/>
              </w:rPr>
            </w:pPr>
          </w:p>
        </w:tc>
        <w:tc>
          <w:tcPr>
            <w:tcW w:w="6360" w:type="dxa"/>
            <w:shd w:val="clear" w:color="auto" w:fill="auto"/>
            <w:vAlign w:val="center"/>
          </w:tcPr>
          <w:p w14:paraId="1F31C92F">
            <w:pPr>
              <w:spacing w:line="28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深化民商事案件繁简分流，对标的额小、事实清楚的涉企案件，推行“调解+速裁+快执”模式。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97BC5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2026年12月底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0B0973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宋体" w:hAnsi="宋体" w:eastAsia="仿宋_GB2312" w:cs="仿宋_GB2312"/>
                <w:bCs/>
                <w:sz w:val="24"/>
              </w:rPr>
              <w:t>区法院</w:t>
            </w:r>
          </w:p>
        </w:tc>
      </w:tr>
    </w:tbl>
    <w:p w14:paraId="5F6F4BAB">
      <w:pPr>
        <w:overflowPunct w:val="0"/>
        <w:spacing w:line="616" w:lineRule="exact"/>
        <w:jc w:val="left"/>
        <w:rPr>
          <w:rFonts w:ascii="宋体" w:hAnsi="宋体" w:eastAsia="仿宋_GB2312" w:cs="仿宋_GB2312"/>
          <w:sz w:val="32"/>
          <w:szCs w:val="32"/>
        </w:rPr>
        <w:sectPr>
          <w:footerReference r:id="rId5" w:type="default"/>
          <w:footerReference r:id="rId6" w:type="even"/>
          <w:pgSz w:w="16838" w:h="11906" w:orient="landscape"/>
          <w:pgMar w:top="1474" w:right="1701" w:bottom="1474" w:left="1985" w:header="851" w:footer="992" w:gutter="0"/>
          <w:cols w:space="425" w:num="1"/>
          <w:docGrid w:type="lines" w:linePitch="312" w:charSpace="0"/>
        </w:sectPr>
      </w:pPr>
    </w:p>
    <w:p w14:paraId="72C49E6F">
      <w:pPr>
        <w:overflowPunct w:val="0"/>
        <w:spacing w:line="616" w:lineRule="exact"/>
        <w:jc w:val="left"/>
        <w:rPr>
          <w:rFonts w:ascii="宋体" w:hAnsi="宋体" w:eastAsia="仿宋_GB2312" w:cs="仿宋_GB2312"/>
          <w:sz w:val="32"/>
          <w:szCs w:val="32"/>
        </w:rPr>
      </w:pPr>
    </w:p>
    <w:p w14:paraId="2D5D4A73">
      <w:pPr>
        <w:overflowPunct w:val="0"/>
        <w:spacing w:line="14" w:lineRule="atLeast"/>
        <w:ind w:firstLine="640"/>
        <w:rPr>
          <w:rFonts w:ascii="宋体" w:hAnsi="宋体" w:eastAsia="楷体_GB2312" w:cs="楷体_GB2312"/>
        </w:rPr>
      </w:pPr>
    </w:p>
    <w:p w14:paraId="6699F18C">
      <w:pPr>
        <w:overflowPunct w:val="0"/>
        <w:spacing w:line="14" w:lineRule="atLeast"/>
        <w:ind w:firstLine="640"/>
        <w:rPr>
          <w:rFonts w:ascii="宋体" w:hAnsi="宋体" w:eastAsia="楷体_GB2312" w:cs="楷体_GB2312"/>
        </w:rPr>
      </w:pPr>
    </w:p>
    <w:p w14:paraId="286EBB0F">
      <w:pPr>
        <w:overflowPunct w:val="0"/>
        <w:spacing w:line="14" w:lineRule="atLeast"/>
        <w:ind w:firstLine="640"/>
        <w:rPr>
          <w:rFonts w:ascii="宋体" w:hAnsi="宋体" w:eastAsia="楷体_GB2312" w:cs="楷体_GB2312"/>
        </w:rPr>
      </w:pPr>
    </w:p>
    <w:p w14:paraId="02F7E81D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581ED893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0ECA4BA7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2ED0778B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1091D12F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61D1A989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583DF0A4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0CB0FD58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58BA86B9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28CF38FB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5C7EBC44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41B7964A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0BD33390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57093CF7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641DF7FC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59BADC30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20DF3C7C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037DA42D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620D1E10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283C838E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153F4FEE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179399A4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083451D3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0BEAAB98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33D40BF9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26E82C1D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1A01A7C9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73665D1A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1010FC45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02FB4051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5DFA0F8C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6E4B0E80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7B7BC2C3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4B4C14E3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61D9F9DC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1B60207A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549CF57F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10648A6D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378B6220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244B5AC7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75A03F78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0936411C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7B32A89E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500C7CFD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25CA9EE5">
      <w:pPr>
        <w:overflowPunct w:val="0"/>
        <w:spacing w:line="200" w:lineRule="exact"/>
        <w:ind w:firstLine="640"/>
        <w:rPr>
          <w:rFonts w:ascii="宋体" w:hAnsi="宋体" w:eastAsia="新宋体"/>
        </w:rPr>
      </w:pPr>
    </w:p>
    <w:p w14:paraId="0DB46E8D">
      <w:pPr>
        <w:overflowPunct w:val="0"/>
        <w:spacing w:line="240" w:lineRule="exact"/>
        <w:ind w:firstLine="640"/>
        <w:rPr>
          <w:rFonts w:ascii="宋体" w:hAnsi="宋体" w:eastAsia="新宋体"/>
        </w:rPr>
      </w:pPr>
    </w:p>
    <w:p w14:paraId="0D6F743C">
      <w:pPr>
        <w:overflowPunct w:val="0"/>
        <w:spacing w:line="240" w:lineRule="exact"/>
        <w:ind w:firstLine="640"/>
        <w:rPr>
          <w:rFonts w:ascii="宋体" w:hAnsi="宋体" w:eastAsia="新宋体"/>
        </w:rPr>
      </w:pPr>
    </w:p>
    <w:p w14:paraId="7C0E8E18">
      <w:pPr>
        <w:overflowPunct w:val="0"/>
        <w:spacing w:line="240" w:lineRule="exact"/>
        <w:ind w:firstLine="640"/>
        <w:rPr>
          <w:rFonts w:ascii="宋体" w:hAnsi="宋体" w:eastAsia="新宋体"/>
        </w:rPr>
      </w:pPr>
    </w:p>
    <w:p w14:paraId="198F243D">
      <w:pPr>
        <w:overflowPunct w:val="0"/>
        <w:spacing w:line="240" w:lineRule="exact"/>
        <w:ind w:firstLine="640"/>
        <w:rPr>
          <w:rFonts w:ascii="宋体" w:hAnsi="宋体" w:eastAsia="新宋体"/>
        </w:rPr>
      </w:pPr>
    </w:p>
    <w:p w14:paraId="4D2AAE0C">
      <w:pPr>
        <w:overflowPunct w:val="0"/>
        <w:spacing w:line="240" w:lineRule="exact"/>
        <w:ind w:firstLine="640"/>
        <w:rPr>
          <w:rFonts w:ascii="宋体" w:hAnsi="宋体" w:eastAsia="新宋体"/>
        </w:rPr>
      </w:pPr>
    </w:p>
    <w:p w14:paraId="7F442483">
      <w:pPr>
        <w:overflowPunct w:val="0"/>
        <w:spacing w:line="240" w:lineRule="exact"/>
        <w:ind w:firstLine="640"/>
        <w:rPr>
          <w:rFonts w:ascii="宋体" w:hAnsi="宋体" w:eastAsia="新宋体"/>
        </w:rPr>
      </w:pPr>
    </w:p>
    <w:p w14:paraId="28CBF91E">
      <w:pPr>
        <w:overflowPunct w:val="0"/>
        <w:spacing w:line="240" w:lineRule="exact"/>
        <w:ind w:firstLine="640"/>
        <w:rPr>
          <w:rFonts w:ascii="宋体" w:hAnsi="宋体" w:eastAsia="新宋体"/>
        </w:rPr>
      </w:pPr>
    </w:p>
    <w:p w14:paraId="43F80346">
      <w:pPr>
        <w:overflowPunct w:val="0"/>
        <w:spacing w:line="240" w:lineRule="exact"/>
        <w:ind w:firstLine="640"/>
        <w:rPr>
          <w:rFonts w:ascii="宋体" w:hAnsi="宋体" w:eastAsia="新宋体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154940</wp:posOffset>
                </wp:positionV>
                <wp:extent cx="5687695" cy="0"/>
                <wp:effectExtent l="0" t="0" r="27305" b="1905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769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0.3pt;margin-top:12.2pt;height:0pt;width:447.85pt;z-index:251660288;mso-width-relative:page;mso-height-relative:page;" filled="f" stroked="t" coordsize="21600,21600" o:gfxdata="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GIfMHDSAAAABwEAAA8AAAAAAAAAAQAgAAAAIgAAAGRycy9kb3ducmV2LnhtbFBLAQIUABQA&#10;AAAIAIdO4kCg4hSp9gEAAL8DAAAOAAAAAAAAAAEAIAAAACEBAABkcnMvZTJvRG9jLnhtbFBLBQYA&#10;AAAABgAGAFkBAACJBQAAAAA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753F63E3">
      <w:pPr>
        <w:overflowPunct w:val="0"/>
        <w:spacing w:line="590" w:lineRule="exact"/>
        <w:ind w:firstLine="420" w:firstLineChars="200"/>
        <w:rPr>
          <w:rFonts w:ascii="宋体" w:hAnsi="宋体" w:eastAsia="楷体_GB2312" w:cs="楷体_GB2312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437515</wp:posOffset>
                </wp:positionV>
                <wp:extent cx="5687695" cy="0"/>
                <wp:effectExtent l="0" t="0" r="27305" b="1905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769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0pt;margin-top:34.45pt;height:0pt;width:447.85pt;z-index:251661312;mso-width-relative:page;mso-height-relative:page;" filled="f" stroked="t" coordsize="21600,21600" o:gfxdata="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JL8SVfSAAAABgEAAA8AAAAAAAAAAQAgAAAAIgAAAGRycy9kb3ducmV2LnhtbFBLAQIUABQA&#10;AAAIAIdO4kBTnJp19gEAAL8DAAAOAAAAAAAAAAEAIAAAACEBAABkcnMvZTJvRG9jLnhtbFBLBQYA&#10;AAAABgAGAFkBAACJBQAAAAA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Style w:val="14"/>
          <w:rFonts w:hint="eastAsia" w:eastAsia="仿宋_GB2312" w:cs="仿宋_GB2312"/>
          <w:sz w:val="32"/>
          <w:szCs w:val="32"/>
        </w:rPr>
        <w:t xml:space="preserve">济南市钢城区人民政府办公室    </w:t>
      </w:r>
      <w:r>
        <w:rPr>
          <w:rStyle w:val="14"/>
          <w:rFonts w:eastAsia="仿宋_GB2312" w:cs="仿宋_GB2312"/>
          <w:sz w:val="32"/>
          <w:szCs w:val="32"/>
        </w:rPr>
        <w:t xml:space="preserve"> </w:t>
      </w:r>
      <w:r>
        <w:rPr>
          <w:rStyle w:val="14"/>
          <w:rFonts w:hint="eastAsia" w:eastAsia="仿宋_GB2312" w:cs="仿宋_GB2312"/>
          <w:sz w:val="32"/>
          <w:szCs w:val="32"/>
        </w:rPr>
        <w:t xml:space="preserve">  </w:t>
      </w:r>
      <w:r>
        <w:rPr>
          <w:rStyle w:val="14"/>
          <w:rFonts w:hint="eastAsia" w:eastAsia="仿宋_GB2312"/>
          <w:sz w:val="32"/>
          <w:szCs w:val="32"/>
        </w:rPr>
        <w:t>202</w:t>
      </w:r>
      <w:r>
        <w:rPr>
          <w:rStyle w:val="14"/>
          <w:rFonts w:eastAsia="仿宋_GB2312"/>
          <w:sz w:val="32"/>
          <w:szCs w:val="32"/>
        </w:rPr>
        <w:t>6</w:t>
      </w:r>
      <w:r>
        <w:rPr>
          <w:rStyle w:val="14"/>
          <w:rFonts w:hint="eastAsia" w:eastAsia="仿宋_GB2312" w:cs="仿宋_GB2312"/>
          <w:sz w:val="32"/>
          <w:szCs w:val="32"/>
        </w:rPr>
        <w:t>年</w:t>
      </w:r>
      <w:r>
        <w:rPr>
          <w:rStyle w:val="14"/>
          <w:rFonts w:eastAsia="仿宋_GB2312"/>
          <w:sz w:val="32"/>
          <w:szCs w:val="32"/>
        </w:rPr>
        <w:t>6</w:t>
      </w:r>
      <w:r>
        <w:rPr>
          <w:rStyle w:val="14"/>
          <w:rFonts w:hint="eastAsia" w:eastAsia="仿宋_GB2312" w:cs="仿宋_GB2312"/>
          <w:sz w:val="32"/>
          <w:szCs w:val="32"/>
        </w:rPr>
        <w:t>月</w:t>
      </w:r>
      <w:r>
        <w:rPr>
          <w:rStyle w:val="14"/>
          <w:rFonts w:eastAsia="仿宋_GB2312" w:cs="仿宋_GB2312"/>
          <w:sz w:val="32"/>
          <w:szCs w:val="32"/>
        </w:rPr>
        <w:t>3</w:t>
      </w:r>
      <w:r>
        <w:rPr>
          <w:rStyle w:val="14"/>
          <w:rFonts w:hint="eastAsia" w:eastAsia="仿宋_GB2312" w:cs="仿宋_GB2312"/>
          <w:sz w:val="32"/>
          <w:szCs w:val="32"/>
        </w:rPr>
        <w:t>日印发</w:t>
      </w:r>
    </w:p>
    <w:sectPr>
      <w:footerReference r:id="rId7" w:type="even"/>
      <w:pgSz w:w="11906" w:h="16838"/>
      <w:pgMar w:top="1985" w:right="1474" w:bottom="1701" w:left="1474" w:header="851" w:footer="1406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仿宋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7"/>
        <w:rFonts w:hint="eastAsia" w:asciiTheme="minorEastAsia" w:hAnsiTheme="minorEastAsia"/>
        <w:sz w:val="28"/>
        <w:szCs w:val="28"/>
      </w:rPr>
      <w:id w:val="-1859811170"/>
      <w:docPartObj>
        <w:docPartGallery w:val="autotext"/>
      </w:docPartObj>
    </w:sdtPr>
    <w:sdtEndPr>
      <w:rPr>
        <w:rStyle w:val="7"/>
        <w:rFonts w:hint="eastAsia" w:asciiTheme="minorEastAsia" w:hAnsiTheme="minorEastAsia"/>
        <w:sz w:val="28"/>
        <w:szCs w:val="28"/>
      </w:rPr>
    </w:sdtEndPr>
    <w:sdtContent>
      <w:p w14:paraId="3D597AB0">
        <w:pPr>
          <w:pStyle w:val="3"/>
          <w:framePr w:wrap="around" w:vAnchor="text" w:hAnchor="margin" w:xAlign="outside" w:y="1"/>
          <w:rPr>
            <w:rStyle w:val="7"/>
            <w:rFonts w:asciiTheme="minorEastAsia" w:hAnsiTheme="minorEastAsia"/>
            <w:sz w:val="28"/>
            <w:szCs w:val="28"/>
          </w:rPr>
        </w:pPr>
        <w:r>
          <w:rPr>
            <w:rStyle w:val="7"/>
            <w:rFonts w:hint="eastAsia" w:asciiTheme="minorEastAsia" w:hAnsiTheme="minorEastAsia"/>
            <w:sz w:val="28"/>
            <w:szCs w:val="28"/>
          </w:rPr>
          <w:t xml:space="preserve">— </w:t>
        </w:r>
        <w:r>
          <w:rPr>
            <w:rStyle w:val="7"/>
            <w:rFonts w:ascii="宋体" w:hAnsi="宋体"/>
            <w:sz w:val="28"/>
            <w:szCs w:val="28"/>
          </w:rPr>
          <w:fldChar w:fldCharType="begin"/>
        </w:r>
        <w:r>
          <w:rPr>
            <w:rStyle w:val="7"/>
            <w:rFonts w:ascii="宋体" w:hAnsi="宋体"/>
            <w:sz w:val="28"/>
            <w:szCs w:val="28"/>
          </w:rPr>
          <w:instrText xml:space="preserve"> PAGE </w:instrText>
        </w:r>
        <w:r>
          <w:rPr>
            <w:rStyle w:val="7"/>
            <w:rFonts w:ascii="宋体" w:hAnsi="宋体"/>
            <w:sz w:val="28"/>
            <w:szCs w:val="28"/>
          </w:rPr>
          <w:fldChar w:fldCharType="separate"/>
        </w:r>
        <w:r>
          <w:rPr>
            <w:rStyle w:val="7"/>
            <w:rFonts w:ascii="宋体" w:hAnsi="宋体"/>
            <w:sz w:val="28"/>
            <w:szCs w:val="28"/>
          </w:rPr>
          <w:t>1</w:t>
        </w:r>
        <w:r>
          <w:rPr>
            <w:rStyle w:val="7"/>
            <w:rFonts w:ascii="宋体" w:hAnsi="宋体"/>
            <w:sz w:val="28"/>
            <w:szCs w:val="28"/>
          </w:rPr>
          <w:fldChar w:fldCharType="end"/>
        </w:r>
        <w:r>
          <w:rPr>
            <w:rStyle w:val="7"/>
            <w:rFonts w:asciiTheme="minorEastAsia" w:hAnsiTheme="minorEastAsia"/>
            <w:sz w:val="28"/>
            <w:szCs w:val="28"/>
          </w:rPr>
          <w:t xml:space="preserve"> </w:t>
        </w:r>
        <w:r>
          <w:rPr>
            <w:rStyle w:val="7"/>
            <w:rFonts w:hint="eastAsia" w:asciiTheme="minorEastAsia" w:hAnsiTheme="minorEastAsia"/>
            <w:sz w:val="28"/>
            <w:szCs w:val="28"/>
          </w:rPr>
          <w:t>—</w:t>
        </w:r>
      </w:p>
    </w:sdtContent>
  </w:sdt>
  <w:p w14:paraId="555DF57A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7"/>
        <w:rFonts w:hint="eastAsia" w:asciiTheme="minorEastAsia" w:hAnsiTheme="minorEastAsia"/>
        <w:sz w:val="28"/>
        <w:szCs w:val="28"/>
      </w:rPr>
      <w:id w:val="-308328283"/>
      <w:docPartObj>
        <w:docPartGallery w:val="autotext"/>
      </w:docPartObj>
    </w:sdtPr>
    <w:sdtEndPr>
      <w:rPr>
        <w:rStyle w:val="7"/>
        <w:rFonts w:hint="eastAsia" w:asciiTheme="minorEastAsia" w:hAnsiTheme="minorEastAsia"/>
        <w:sz w:val="28"/>
        <w:szCs w:val="28"/>
      </w:rPr>
    </w:sdtEndPr>
    <w:sdtContent>
      <w:p w14:paraId="138524A6">
        <w:pPr>
          <w:pStyle w:val="3"/>
          <w:framePr w:wrap="around" w:vAnchor="text" w:hAnchor="margin" w:xAlign="outside" w:y="1"/>
          <w:rPr>
            <w:rStyle w:val="7"/>
            <w:rFonts w:asciiTheme="minorEastAsia" w:hAnsiTheme="minorEastAsia"/>
            <w:sz w:val="28"/>
            <w:szCs w:val="28"/>
          </w:rPr>
        </w:pPr>
        <w:r>
          <w:rPr>
            <w:rStyle w:val="7"/>
            <w:rFonts w:hint="eastAsia" w:ascii="宋体" w:hAnsi="宋体"/>
            <w:sz w:val="28"/>
            <w:szCs w:val="28"/>
          </w:rPr>
          <w:t xml:space="preserve">— </w:t>
        </w:r>
        <w:r>
          <w:rPr>
            <w:rStyle w:val="7"/>
            <w:rFonts w:ascii="宋体" w:hAnsi="宋体"/>
            <w:sz w:val="28"/>
            <w:szCs w:val="28"/>
          </w:rPr>
          <w:fldChar w:fldCharType="begin"/>
        </w:r>
        <w:r>
          <w:rPr>
            <w:rStyle w:val="7"/>
            <w:rFonts w:ascii="宋体" w:hAnsi="宋体"/>
            <w:sz w:val="28"/>
            <w:szCs w:val="28"/>
          </w:rPr>
          <w:instrText xml:space="preserve"> PAGE </w:instrText>
        </w:r>
        <w:r>
          <w:rPr>
            <w:rStyle w:val="7"/>
            <w:rFonts w:ascii="宋体" w:hAnsi="宋体"/>
            <w:sz w:val="28"/>
            <w:szCs w:val="28"/>
          </w:rPr>
          <w:fldChar w:fldCharType="separate"/>
        </w:r>
        <w:r>
          <w:rPr>
            <w:rStyle w:val="7"/>
            <w:rFonts w:ascii="宋体" w:hAnsi="宋体"/>
            <w:sz w:val="28"/>
            <w:szCs w:val="28"/>
          </w:rPr>
          <w:t>2</w:t>
        </w:r>
        <w:r>
          <w:rPr>
            <w:rStyle w:val="7"/>
            <w:rFonts w:ascii="宋体" w:hAnsi="宋体"/>
            <w:sz w:val="28"/>
            <w:szCs w:val="28"/>
          </w:rPr>
          <w:fldChar w:fldCharType="end"/>
        </w:r>
        <w:r>
          <w:rPr>
            <w:rStyle w:val="7"/>
            <w:rFonts w:ascii="宋体" w:hAnsi="宋体"/>
            <w:sz w:val="28"/>
            <w:szCs w:val="28"/>
          </w:rPr>
          <w:t xml:space="preserve"> </w:t>
        </w:r>
        <w:r>
          <w:rPr>
            <w:rStyle w:val="7"/>
            <w:rFonts w:hint="eastAsia" w:ascii="宋体" w:hAnsi="宋体"/>
            <w:sz w:val="28"/>
            <w:szCs w:val="28"/>
          </w:rPr>
          <w:t>—</w:t>
        </w:r>
      </w:p>
    </w:sdtContent>
  </w:sdt>
  <w:p w14:paraId="54C0394D">
    <w:pPr>
      <w:pStyle w:val="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6FB29">
    <w:pPr>
      <w:framePr w:w="430" w:wrap="around" w:vAnchor="text" w:hAnchor="page" w:x="1456" w:y="-1393"/>
      <w:rPr>
        <w:rStyle w:val="7"/>
        <w:rFonts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 PAGE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19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ascii="宋体" w:hAnsi="宋体"/>
        <w:sz w:val="28"/>
        <w:szCs w:val="28"/>
      </w:rPr>
      <w:t xml:space="preserve"> </w:t>
    </w:r>
    <w:r>
      <w:rPr>
        <w:rStyle w:val="7"/>
        <w:rFonts w:hint="eastAsia" w:ascii="宋体" w:hAnsi="宋体"/>
        <w:sz w:val="28"/>
        <w:szCs w:val="28"/>
      </w:rPr>
      <w:t>—</w:t>
    </w:r>
  </w:p>
  <w:p w14:paraId="575B4F07">
    <w:pPr>
      <w:pStyle w:val="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2040F7">
    <w:pPr>
      <w:framePr w:w="430" w:wrap="around" w:vAnchor="text" w:hAnchor="page" w:x="1516" w:y="-9208"/>
      <w:rPr>
        <w:rStyle w:val="7"/>
        <w:rFonts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 PAGE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20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ascii="宋体" w:hAnsi="宋体"/>
        <w:sz w:val="28"/>
        <w:szCs w:val="28"/>
      </w:rPr>
      <w:t xml:space="preserve"> </w:t>
    </w:r>
    <w:r>
      <w:rPr>
        <w:rStyle w:val="7"/>
        <w:rFonts w:hint="eastAsia" w:ascii="宋体" w:hAnsi="宋体"/>
        <w:sz w:val="28"/>
        <w:szCs w:val="28"/>
      </w:rPr>
      <w:t>—</w:t>
    </w:r>
  </w:p>
  <w:p w14:paraId="07A973F1">
    <w:pPr>
      <w:pStyle w:val="3"/>
      <w:ind w:right="360"/>
    </w:pPr>
    <w: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2177415</wp:posOffset>
              </wp:positionH>
              <wp:positionV relativeFrom="paragraph">
                <wp:posOffset>3313430</wp:posOffset>
              </wp:positionV>
              <wp:extent cx="923925" cy="1404620"/>
              <wp:effectExtent l="125095" t="46355" r="153670" b="5842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4391514">
                        <a:off x="0" y="0"/>
                        <a:ext cx="9239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 w14:paraId="5FC198A3">
                          <w:pPr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— 16 —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171.45pt;margin-top:260.9pt;height:110.6pt;width:72.75pt;mso-wrap-distance-bottom:3.6pt;mso-wrap-distance-left:9pt;mso-wrap-distance-right:9pt;mso-wrap-distance-top:3.6pt;rotation:4796704f;z-index:251659264;mso-width-relative:page;mso-height-relative:page;" fillcolor="#FFFFFF" filled="t" stroked="t" coordsize="21600,21600" o:gfxdata="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uuDWXYAAAACwEAAA8AAAAAAAAAAQAgAAAA&#10;IgAAAGRycy9kb3ducmV2LnhtbFBLAQIUABQAAAAIAIdO4kC2bY90RAIAAIsEAAAOAAAAAAAAAAEA&#10;IAAAACcBAABkcnMvZTJvRG9jLnhtbFBLBQYAAAAABgAGAFkBAADdBQAAAAA=&#10;">
              <v:fill on="t" focussize="0,0"/>
              <v:stroke color="#000000" miterlimit="8" joinstyle="miter"/>
              <v:imagedata o:title=""/>
              <o:lock v:ext="edit" aspectratio="f"/>
              <v:textbox style="mso-fit-shape-to-text:t;">
                <w:txbxContent>
                  <w:p w14:paraId="5FC198A3">
                    <w:pPr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t>— 16 —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7"/>
        <w:rFonts w:hint="eastAsia" w:asciiTheme="minorEastAsia" w:hAnsiTheme="minorEastAsia"/>
        <w:sz w:val="28"/>
        <w:szCs w:val="28"/>
      </w:rPr>
      <w:id w:val="1262727421"/>
      <w:docPartObj>
        <w:docPartGallery w:val="autotext"/>
      </w:docPartObj>
    </w:sdtPr>
    <w:sdtEndPr>
      <w:rPr>
        <w:rStyle w:val="7"/>
        <w:rFonts w:hint="eastAsia" w:ascii="宋体" w:hAnsi="宋体"/>
        <w:sz w:val="28"/>
        <w:szCs w:val="28"/>
      </w:rPr>
    </w:sdtEndPr>
    <w:sdtContent>
      <w:p w14:paraId="180094B3">
        <w:pPr>
          <w:pStyle w:val="3"/>
          <w:framePr w:wrap="around" w:vAnchor="text" w:hAnchor="margin" w:xAlign="outside" w:y="1"/>
          <w:rPr>
            <w:rStyle w:val="7"/>
            <w:rFonts w:ascii="宋体" w:hAnsi="宋体"/>
            <w:sz w:val="28"/>
            <w:szCs w:val="28"/>
          </w:rPr>
        </w:pPr>
        <w:r>
          <w:rPr>
            <w:rStyle w:val="7"/>
            <w:rFonts w:hint="eastAsia" w:ascii="宋体" w:hAnsi="宋体"/>
            <w:sz w:val="28"/>
            <w:szCs w:val="28"/>
          </w:rPr>
          <w:t xml:space="preserve">— </w:t>
        </w:r>
        <w:r>
          <w:rPr>
            <w:rStyle w:val="7"/>
            <w:rFonts w:ascii="宋体" w:hAnsi="宋体"/>
            <w:sz w:val="28"/>
            <w:szCs w:val="28"/>
          </w:rPr>
          <w:fldChar w:fldCharType="begin"/>
        </w:r>
        <w:r>
          <w:rPr>
            <w:rStyle w:val="7"/>
            <w:rFonts w:ascii="宋体" w:hAnsi="宋体"/>
            <w:sz w:val="28"/>
            <w:szCs w:val="28"/>
          </w:rPr>
          <w:instrText xml:space="preserve"> PAGE </w:instrText>
        </w:r>
        <w:r>
          <w:rPr>
            <w:rStyle w:val="7"/>
            <w:rFonts w:ascii="宋体" w:hAnsi="宋体"/>
            <w:sz w:val="28"/>
            <w:szCs w:val="28"/>
          </w:rPr>
          <w:fldChar w:fldCharType="separate"/>
        </w:r>
        <w:r>
          <w:rPr>
            <w:rStyle w:val="7"/>
            <w:rFonts w:ascii="宋体" w:hAnsi="宋体"/>
            <w:sz w:val="28"/>
            <w:szCs w:val="28"/>
          </w:rPr>
          <w:t>28</w:t>
        </w:r>
        <w:r>
          <w:rPr>
            <w:rStyle w:val="7"/>
            <w:rFonts w:ascii="宋体" w:hAnsi="宋体"/>
            <w:sz w:val="28"/>
            <w:szCs w:val="28"/>
          </w:rPr>
          <w:fldChar w:fldCharType="end"/>
        </w:r>
        <w:r>
          <w:rPr>
            <w:rStyle w:val="7"/>
            <w:rFonts w:ascii="宋体" w:hAnsi="宋体"/>
            <w:sz w:val="28"/>
            <w:szCs w:val="28"/>
          </w:rPr>
          <w:t xml:space="preserve"> </w:t>
        </w:r>
        <w:r>
          <w:rPr>
            <w:rStyle w:val="7"/>
            <w:rFonts w:hint="eastAsia" w:ascii="宋体" w:hAnsi="宋体"/>
            <w:sz w:val="28"/>
            <w:szCs w:val="28"/>
          </w:rPr>
          <w:t>—</w:t>
        </w:r>
      </w:p>
    </w:sdtContent>
  </w:sdt>
  <w:p w14:paraId="63F6F717"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CB2"/>
    <w:rsid w:val="000432AF"/>
    <w:rsid w:val="00085C2C"/>
    <w:rsid w:val="00085F0C"/>
    <w:rsid w:val="00087C51"/>
    <w:rsid w:val="000B44D1"/>
    <w:rsid w:val="001829F6"/>
    <w:rsid w:val="002772B1"/>
    <w:rsid w:val="003B0EF6"/>
    <w:rsid w:val="00490DD6"/>
    <w:rsid w:val="00520970"/>
    <w:rsid w:val="00524A9B"/>
    <w:rsid w:val="00540DB2"/>
    <w:rsid w:val="005B502A"/>
    <w:rsid w:val="006802D7"/>
    <w:rsid w:val="006A7CC2"/>
    <w:rsid w:val="006C56D6"/>
    <w:rsid w:val="008260DF"/>
    <w:rsid w:val="008A1BEC"/>
    <w:rsid w:val="008D5A10"/>
    <w:rsid w:val="00923906"/>
    <w:rsid w:val="00934F43"/>
    <w:rsid w:val="0093739B"/>
    <w:rsid w:val="009441AF"/>
    <w:rsid w:val="00961131"/>
    <w:rsid w:val="009648E1"/>
    <w:rsid w:val="009B62DA"/>
    <w:rsid w:val="009B7C0D"/>
    <w:rsid w:val="00AD0C45"/>
    <w:rsid w:val="00B30C31"/>
    <w:rsid w:val="00BB0CB2"/>
    <w:rsid w:val="00C412EC"/>
    <w:rsid w:val="00C504F0"/>
    <w:rsid w:val="00CA04BF"/>
    <w:rsid w:val="00D366CB"/>
    <w:rsid w:val="00E734BF"/>
    <w:rsid w:val="00E908EB"/>
    <w:rsid w:val="00E96001"/>
    <w:rsid w:val="00EA45F3"/>
    <w:rsid w:val="00EC0466"/>
    <w:rsid w:val="00EE64D3"/>
    <w:rsid w:val="00EE7905"/>
    <w:rsid w:val="00F32E51"/>
    <w:rsid w:val="00F408E4"/>
    <w:rsid w:val="00F5351C"/>
    <w:rsid w:val="00FD264A"/>
    <w:rsid w:val="0D3E2EAA"/>
    <w:rsid w:val="159D2F0C"/>
    <w:rsid w:val="260D03B1"/>
    <w:rsid w:val="32301A4A"/>
    <w:rsid w:val="59EB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  <w:style w:type="character" w:customStyle="1" w:styleId="8">
    <w:name w:val="NormalCharacter"/>
    <w:semiHidden/>
    <w:qFormat/>
    <w:uiPriority w:val="0"/>
  </w:style>
  <w:style w:type="paragraph" w:customStyle="1" w:styleId="9">
    <w:name w:val="常用样式（方正仿宋简）"/>
    <w:basedOn w:val="1"/>
    <w:qFormat/>
    <w:uiPriority w:val="0"/>
    <w:pPr>
      <w:spacing w:line="560" w:lineRule="exact"/>
      <w:ind w:firstLine="640" w:firstLineChars="200"/>
    </w:pPr>
    <w:rPr>
      <w:rFonts w:eastAsia="微软雅黑"/>
      <w:szCs w:val="32"/>
    </w:rPr>
  </w:style>
  <w:style w:type="character" w:customStyle="1" w:styleId="10">
    <w:name w:val="页眉 字符"/>
    <w:basedOn w:val="6"/>
    <w:link w:val="4"/>
    <w:uiPriority w:val="99"/>
    <w:rPr>
      <w:rFonts w:ascii="Calibri" w:hAnsi="Calibri" w:eastAsia="宋体" w:cs="宋体"/>
      <w:sz w:val="18"/>
      <w:szCs w:val="18"/>
    </w:rPr>
  </w:style>
  <w:style w:type="character" w:customStyle="1" w:styleId="11">
    <w:name w:val="页脚 字符"/>
    <w:basedOn w:val="6"/>
    <w:link w:val="3"/>
    <w:qFormat/>
    <w:uiPriority w:val="0"/>
    <w:rPr>
      <w:rFonts w:ascii="Calibri" w:hAnsi="Calibri" w:eastAsia="宋体" w:cs="宋体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6"/>
    <w:link w:val="2"/>
    <w:semiHidden/>
    <w:uiPriority w:val="99"/>
    <w:rPr>
      <w:rFonts w:ascii="Calibri" w:hAnsi="Calibri" w:eastAsia="宋体" w:cs="宋体"/>
      <w:sz w:val="18"/>
      <w:szCs w:val="18"/>
    </w:rPr>
  </w:style>
  <w:style w:type="character" w:customStyle="1" w:styleId="14">
    <w:name w:val="txt1"/>
    <w:autoRedefine/>
    <w:qFormat/>
    <w:uiPriority w:val="99"/>
    <w:rPr>
      <w:rFonts w:ascii="宋体" w:hAnsi="宋体" w:eastAsia="宋体" w:cs="宋体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13335</Words>
  <Characters>14011</Characters>
  <Lines>727</Lines>
  <Paragraphs>516</Paragraphs>
  <TotalTime>416</TotalTime>
  <ScaleCrop>false</ScaleCrop>
  <LinksUpToDate>false</LinksUpToDate>
  <CharactersWithSpaces>14060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2026-06-01T10:15:00Z</dcterms:created>
  <dc:creator>Administrator</dc:creator>
  <cp:lastModifiedBy>珍奇果果</cp:lastModifiedBy>
  <cp:lastPrinted>2026-06-10T08:46:00Z</cp:lastPrinted>
  <dcterms:modified xsi:type="dcterms:W3CDTF">2026-06-11T01:12:23Z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6443A4AB6A734BF5A4AA4CBF3636C6C0_13</vt:lpwstr>
  </property>
  <property fmtid="{D5CDD505-2E9C-101B-9397-08002B2CF9AE}" pid="4" name="KSOTemplateDocerSaveRecord">
    <vt:lpwstr>eyJoZGlkIjoiOTRkNDgxY2Y3MTc2MzI3ZWVjMDY4MzkzZGJmODk1NjAiLCJ1c2VySWQiOiIzMjk0Mjc3NTQifQ==</vt:lpwstr>
  </property>
</Properties>
</file>