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6818D">
      <w:pPr>
        <w:pStyle w:val="9"/>
        <w:keepNext w:val="0"/>
        <w:keepLines w:val="0"/>
        <w:pageBreakBefore w:val="0"/>
        <w:widowControl w:val="0"/>
        <w:kinsoku/>
        <w:wordWrap/>
        <w:topLinePunct w:val="0"/>
        <w:autoSpaceDE/>
        <w:autoSpaceDN/>
        <w:bidi w:val="0"/>
        <w:spacing w:after="0" w:line="616" w:lineRule="exact"/>
        <w:textAlignment w:val="auto"/>
        <w:rPr>
          <w:rFonts w:ascii="宋体" w:hAnsi="宋体" w:eastAsia="方正小标宋简体"/>
          <w:b/>
          <w:color w:val="000000" w:themeColor="text1"/>
          <w:sz w:val="32"/>
          <w:szCs w:val="32"/>
          <w:u w:val="none"/>
          <w14:textFill>
            <w14:solidFill>
              <w14:schemeClr w14:val="tx1"/>
            </w14:solidFill>
          </w14:textFill>
        </w:rPr>
      </w:pPr>
    </w:p>
    <w:p w14:paraId="114CBD8A">
      <w:pPr>
        <w:keepNext w:val="0"/>
        <w:keepLines w:val="0"/>
        <w:pageBreakBefore w:val="0"/>
        <w:widowControl w:val="0"/>
        <w:kinsoku/>
        <w:wordWrap/>
        <w:overflowPunct w:val="0"/>
        <w:topLinePunct w:val="0"/>
        <w:autoSpaceDE/>
        <w:autoSpaceDN/>
        <w:bidi w:val="0"/>
        <w:snapToGrid w:val="0"/>
        <w:spacing w:line="616" w:lineRule="exact"/>
        <w:ind w:left="0" w:leftChars="0"/>
        <w:jc w:val="center"/>
        <w:textAlignment w:val="auto"/>
        <w:rPr>
          <w:rFonts w:ascii="宋体" w:hAnsi="宋体" w:eastAsia="方正小标宋简体"/>
          <w:b/>
          <w:color w:val="000000" w:themeColor="text1"/>
          <w:sz w:val="44"/>
          <w:szCs w:val="44"/>
          <w:u w:val="none"/>
          <w14:textFill>
            <w14:solidFill>
              <w14:schemeClr w14:val="tx1"/>
            </w14:solidFill>
          </w14:textFill>
        </w:rPr>
      </w:pPr>
      <w:r>
        <w:rPr>
          <w:rFonts w:ascii="宋体" w:hAnsi="宋体" w:eastAsia="方正小标宋简体"/>
          <w:b/>
          <w:color w:val="000000" w:themeColor="text1"/>
          <w:sz w:val="44"/>
          <w:szCs w:val="44"/>
          <w:u w:val="none"/>
          <w14:textFill>
            <w14:solidFill>
              <w14:schemeClr w14:val="tx1"/>
            </w14:solidFill>
          </w14:textFill>
        </w:rPr>
        <w:t>政 府 工 作 报 告</w:t>
      </w:r>
    </w:p>
    <w:p w14:paraId="019F0F11">
      <w:pPr>
        <w:pStyle w:val="4"/>
        <w:keepNext w:val="0"/>
        <w:keepLines w:val="0"/>
        <w:pageBreakBefore w:val="0"/>
        <w:widowControl w:val="0"/>
        <w:kinsoku/>
        <w:wordWrap/>
        <w:overflowPunct w:val="0"/>
        <w:topLinePunct w:val="0"/>
        <w:autoSpaceDE/>
        <w:autoSpaceDN/>
        <w:bidi w:val="0"/>
        <w:spacing w:after="0" w:line="616" w:lineRule="exact"/>
        <w:jc w:val="center"/>
        <w:textAlignment w:val="auto"/>
        <w:outlineLvl w:val="1"/>
        <w:rPr>
          <w:rFonts w:ascii="宋体" w:hAnsi="宋体" w:eastAsia="楷体_GB2312"/>
          <w:b/>
          <w:color w:val="000000" w:themeColor="text1"/>
          <w:sz w:val="32"/>
          <w:szCs w:val="32"/>
          <w14:textFill>
            <w14:solidFill>
              <w14:schemeClr w14:val="tx1"/>
            </w14:solidFill>
          </w14:textFill>
        </w:rPr>
      </w:pPr>
      <w:r>
        <w:rPr>
          <w:rFonts w:ascii="宋体" w:hAnsi="宋体" w:eastAsiaTheme="minorEastAsia"/>
          <w:b/>
          <w:color w:val="000000" w:themeColor="text1"/>
          <w:sz w:val="32"/>
          <w:szCs w:val="32"/>
          <w14:textFill>
            <w14:solidFill>
              <w14:schemeClr w14:val="tx1"/>
            </w14:solidFill>
          </w14:textFill>
        </w:rPr>
        <w:t>——</w:t>
      </w:r>
      <w:r>
        <w:rPr>
          <w:rFonts w:ascii="宋体" w:hAnsi="宋体" w:eastAsia="楷体_GB2312"/>
          <w:b/>
          <w:color w:val="000000" w:themeColor="text1"/>
          <w:sz w:val="32"/>
          <w:szCs w:val="32"/>
          <w14:textFill>
            <w14:solidFill>
              <w14:schemeClr w14:val="tx1"/>
            </w14:solidFill>
          </w14:textFill>
        </w:rPr>
        <w:t>202</w:t>
      </w:r>
      <w:r>
        <w:rPr>
          <w:rFonts w:hint="eastAsia" w:ascii="宋体" w:hAnsi="宋体" w:eastAsia="楷体_GB2312"/>
          <w:b/>
          <w:color w:val="000000" w:themeColor="text1"/>
          <w:sz w:val="32"/>
          <w:szCs w:val="32"/>
          <w:lang w:val="en-US" w:eastAsia="zh-CN"/>
          <w14:textFill>
            <w14:solidFill>
              <w14:schemeClr w14:val="tx1"/>
            </w14:solidFill>
          </w14:textFill>
        </w:rPr>
        <w:t>6</w:t>
      </w:r>
      <w:r>
        <w:rPr>
          <w:rFonts w:ascii="宋体" w:hAnsi="宋体" w:eastAsia="楷体_GB2312"/>
          <w:b/>
          <w:color w:val="000000" w:themeColor="text1"/>
          <w:sz w:val="32"/>
          <w:szCs w:val="32"/>
          <w14:textFill>
            <w14:solidFill>
              <w14:schemeClr w14:val="tx1"/>
            </w14:solidFill>
          </w14:textFill>
        </w:rPr>
        <w:t>年</w:t>
      </w:r>
      <w:r>
        <w:rPr>
          <w:rFonts w:hint="eastAsia" w:ascii="宋体" w:hAnsi="宋体" w:eastAsia="楷体_GB2312"/>
          <w:b/>
          <w:color w:val="000000" w:themeColor="text1"/>
          <w:sz w:val="32"/>
          <w:szCs w:val="32"/>
          <w:lang w:val="en-US" w:eastAsia="zh-CN"/>
          <w14:textFill>
            <w14:solidFill>
              <w14:schemeClr w14:val="tx1"/>
            </w14:solidFill>
          </w14:textFill>
        </w:rPr>
        <w:t>2</w:t>
      </w:r>
      <w:r>
        <w:rPr>
          <w:rFonts w:ascii="宋体" w:hAnsi="宋体" w:eastAsia="楷体_GB2312"/>
          <w:b/>
          <w:color w:val="000000" w:themeColor="text1"/>
          <w:sz w:val="32"/>
          <w:szCs w:val="32"/>
          <w14:textFill>
            <w14:solidFill>
              <w14:schemeClr w14:val="tx1"/>
            </w14:solidFill>
          </w14:textFill>
        </w:rPr>
        <w:t>月</w:t>
      </w:r>
      <w:r>
        <w:rPr>
          <w:rFonts w:hint="eastAsia" w:ascii="宋体" w:hAnsi="宋体" w:eastAsia="楷体_GB2312"/>
          <w:b/>
          <w:color w:val="000000" w:themeColor="text1"/>
          <w:sz w:val="32"/>
          <w:szCs w:val="32"/>
          <w:lang w:val="en-US" w:eastAsia="zh-CN"/>
          <w14:textFill>
            <w14:solidFill>
              <w14:schemeClr w14:val="tx1"/>
            </w14:solidFill>
          </w14:textFill>
        </w:rPr>
        <w:t>4</w:t>
      </w:r>
      <w:r>
        <w:rPr>
          <w:rFonts w:ascii="宋体" w:hAnsi="宋体" w:eastAsia="楷体_GB2312"/>
          <w:b/>
          <w:color w:val="000000" w:themeColor="text1"/>
          <w:sz w:val="32"/>
          <w:szCs w:val="32"/>
          <w14:textFill>
            <w14:solidFill>
              <w14:schemeClr w14:val="tx1"/>
            </w14:solidFill>
          </w14:textFill>
        </w:rPr>
        <w:t>日在济南市钢城区第十九届</w:t>
      </w:r>
    </w:p>
    <w:p w14:paraId="30125F52">
      <w:pPr>
        <w:pStyle w:val="4"/>
        <w:keepNext w:val="0"/>
        <w:keepLines w:val="0"/>
        <w:pageBreakBefore w:val="0"/>
        <w:widowControl w:val="0"/>
        <w:kinsoku/>
        <w:wordWrap/>
        <w:overflowPunct w:val="0"/>
        <w:topLinePunct w:val="0"/>
        <w:autoSpaceDE/>
        <w:autoSpaceDN/>
        <w:bidi w:val="0"/>
        <w:spacing w:after="0" w:line="616" w:lineRule="exact"/>
        <w:jc w:val="center"/>
        <w:textAlignment w:val="auto"/>
        <w:outlineLvl w:val="1"/>
        <w:rPr>
          <w:rFonts w:ascii="宋体" w:hAnsi="宋体" w:eastAsia="楷体_GB2312"/>
          <w:b/>
          <w:color w:val="000000" w:themeColor="text1"/>
          <w:sz w:val="32"/>
          <w:szCs w:val="32"/>
          <w14:textFill>
            <w14:solidFill>
              <w14:schemeClr w14:val="tx1"/>
            </w14:solidFill>
          </w14:textFill>
        </w:rPr>
      </w:pPr>
      <w:r>
        <w:rPr>
          <w:rFonts w:ascii="宋体" w:hAnsi="宋体" w:eastAsia="楷体_GB2312"/>
          <w:b/>
          <w:color w:val="000000" w:themeColor="text1"/>
          <w:sz w:val="32"/>
          <w:szCs w:val="32"/>
          <w14:textFill>
            <w14:solidFill>
              <w14:schemeClr w14:val="tx1"/>
            </w14:solidFill>
          </w14:textFill>
        </w:rPr>
        <w:t>人民代表大会第</w:t>
      </w:r>
      <w:r>
        <w:rPr>
          <w:rFonts w:hint="eastAsia" w:ascii="宋体" w:hAnsi="宋体" w:eastAsia="楷体_GB2312"/>
          <w:b/>
          <w:color w:val="000000" w:themeColor="text1"/>
          <w:sz w:val="32"/>
          <w:szCs w:val="32"/>
          <w:lang w:val="en-US" w:eastAsia="zh-CN"/>
          <w14:textFill>
            <w14:solidFill>
              <w14:schemeClr w14:val="tx1"/>
            </w14:solidFill>
          </w14:textFill>
        </w:rPr>
        <w:t>六</w:t>
      </w:r>
      <w:r>
        <w:rPr>
          <w:rFonts w:ascii="宋体" w:hAnsi="宋体" w:eastAsia="楷体_GB2312"/>
          <w:b/>
          <w:color w:val="000000" w:themeColor="text1"/>
          <w:sz w:val="32"/>
          <w:szCs w:val="32"/>
          <w14:textFill>
            <w14:solidFill>
              <w14:schemeClr w14:val="tx1"/>
            </w14:solidFill>
          </w14:textFill>
        </w:rPr>
        <w:t>次会议上</w:t>
      </w:r>
    </w:p>
    <w:p w14:paraId="50896E85">
      <w:pPr>
        <w:pStyle w:val="4"/>
        <w:keepNext w:val="0"/>
        <w:keepLines w:val="0"/>
        <w:pageBreakBefore w:val="0"/>
        <w:widowControl w:val="0"/>
        <w:kinsoku/>
        <w:wordWrap/>
        <w:overflowPunct w:val="0"/>
        <w:topLinePunct w:val="0"/>
        <w:autoSpaceDE/>
        <w:autoSpaceDN/>
        <w:bidi w:val="0"/>
        <w:spacing w:after="0" w:line="616" w:lineRule="exact"/>
        <w:jc w:val="center"/>
        <w:textAlignment w:val="auto"/>
        <w:outlineLvl w:val="1"/>
        <w:rPr>
          <w:rFonts w:ascii="宋体" w:hAnsi="宋体" w:eastAsia="楷体_GB2312"/>
          <w:b/>
          <w:color w:val="000000" w:themeColor="text1"/>
          <w:sz w:val="32"/>
          <w:szCs w:val="32"/>
          <w14:textFill>
            <w14:solidFill>
              <w14:schemeClr w14:val="tx1"/>
            </w14:solidFill>
          </w14:textFill>
        </w:rPr>
      </w:pPr>
      <w:r>
        <w:rPr>
          <w:rFonts w:ascii="宋体" w:hAnsi="宋体" w:eastAsia="楷体_GB2312"/>
          <w:b/>
          <w:color w:val="000000" w:themeColor="text1"/>
          <w:sz w:val="32"/>
          <w:szCs w:val="32"/>
          <w14:textFill>
            <w14:solidFill>
              <w14:schemeClr w14:val="tx1"/>
            </w14:solidFill>
          </w14:textFill>
        </w:rPr>
        <w:t>济南市钢城区人民政府区长  程学锋</w:t>
      </w:r>
    </w:p>
    <w:p w14:paraId="0D007AA9">
      <w:pPr>
        <w:pStyle w:val="4"/>
        <w:keepNext w:val="0"/>
        <w:keepLines w:val="0"/>
        <w:pageBreakBefore w:val="0"/>
        <w:widowControl w:val="0"/>
        <w:kinsoku/>
        <w:wordWrap/>
        <w:overflowPunct w:val="0"/>
        <w:topLinePunct w:val="0"/>
        <w:autoSpaceDE/>
        <w:autoSpaceDN/>
        <w:bidi w:val="0"/>
        <w:snapToGrid w:val="0"/>
        <w:spacing w:after="0" w:line="616" w:lineRule="exact"/>
        <w:ind w:left="0" w:leftChars="0"/>
        <w:jc w:val="center"/>
        <w:textAlignment w:val="auto"/>
        <w:outlineLvl w:val="1"/>
        <w:rPr>
          <w:rFonts w:hint="default" w:ascii="宋体" w:hAnsi="宋体" w:eastAsia="楷体_GB2312" w:cs="Times New Roman"/>
          <w:b/>
          <w:color w:val="000000" w:themeColor="text1"/>
          <w:sz w:val="32"/>
          <w:szCs w:val="32"/>
          <w:highlight w:val="none"/>
          <w:u w:val="none"/>
          <w:lang w:eastAsia="zh-CN"/>
          <w14:textFill>
            <w14:solidFill>
              <w14:schemeClr w14:val="tx1"/>
            </w14:solidFill>
          </w14:textFill>
        </w:rPr>
      </w:pPr>
    </w:p>
    <w:p w14:paraId="2EC9BAB1">
      <w:pPr>
        <w:pStyle w:val="4"/>
        <w:keepNext w:val="0"/>
        <w:keepLines w:val="0"/>
        <w:pageBreakBefore w:val="0"/>
        <w:widowControl w:val="0"/>
        <w:kinsoku/>
        <w:wordWrap/>
        <w:overflowPunct w:val="0"/>
        <w:topLinePunct w:val="0"/>
        <w:autoSpaceDE/>
        <w:autoSpaceDN/>
        <w:bidi w:val="0"/>
        <w:snapToGrid w:val="0"/>
        <w:spacing w:after="0" w:line="616" w:lineRule="exact"/>
        <w:ind w:left="0" w:leftChars="0"/>
        <w:textAlignment w:val="auto"/>
        <w:rPr>
          <w:rFonts w:ascii="宋体" w:hAnsi="宋体" w:eastAsia="仿宋_GB2312"/>
          <w:b/>
          <w:color w:val="000000" w:themeColor="text1"/>
          <w:sz w:val="32"/>
          <w:szCs w:val="32"/>
          <w:u w:val="none"/>
          <w14:textFill>
            <w14:solidFill>
              <w14:schemeClr w14:val="tx1"/>
            </w14:solidFill>
          </w14:textFill>
        </w:rPr>
      </w:pPr>
      <w:r>
        <w:rPr>
          <w:rFonts w:ascii="宋体" w:hAnsi="宋体" w:eastAsia="仿宋_GB2312"/>
          <w:b/>
          <w:color w:val="000000" w:themeColor="text1"/>
          <w:sz w:val="32"/>
          <w:szCs w:val="32"/>
          <w:u w:val="none"/>
          <w14:textFill>
            <w14:solidFill>
              <w14:schemeClr w14:val="tx1"/>
            </w14:solidFill>
          </w14:textFill>
        </w:rPr>
        <w:t>各位代表：</w:t>
      </w:r>
      <w:bookmarkStart w:id="0" w:name="_GoBack"/>
      <w:bookmarkEnd w:id="0"/>
    </w:p>
    <w:p w14:paraId="3F825769">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ascii="宋体" w:hAnsi="宋体" w:eastAsia="仿宋_GB2312"/>
          <w:b/>
          <w:color w:val="000000" w:themeColor="text1"/>
          <w:sz w:val="32"/>
          <w:szCs w:val="32"/>
          <w:u w:val="none"/>
          <w14:textFill>
            <w14:solidFill>
              <w14:schemeClr w14:val="tx1"/>
            </w14:solidFill>
          </w14:textFill>
        </w:rPr>
      </w:pPr>
      <w:r>
        <w:rPr>
          <w:rFonts w:ascii="宋体" w:hAnsi="宋体" w:eastAsia="仿宋_GB2312"/>
          <w:b/>
          <w:color w:val="000000" w:themeColor="text1"/>
          <w:sz w:val="32"/>
          <w:szCs w:val="32"/>
          <w:u w:val="none"/>
          <w14:textFill>
            <w14:solidFill>
              <w14:schemeClr w14:val="tx1"/>
            </w14:solidFill>
          </w14:textFill>
        </w:rPr>
        <w:t>现在，我代表区人民政府向大会报告工作，请予审议，并请各位政协委员和列席人员提出意见。</w:t>
      </w:r>
    </w:p>
    <w:p w14:paraId="75ECB4A6">
      <w:pPr>
        <w:pStyle w:val="2"/>
        <w:keepNext w:val="0"/>
        <w:keepLines w:val="0"/>
        <w:pageBreakBefore w:val="0"/>
        <w:widowControl w:val="0"/>
        <w:kinsoku/>
        <w:wordWrap/>
        <w:topLinePunct w:val="0"/>
        <w:autoSpaceDE/>
        <w:autoSpaceDN/>
        <w:bidi w:val="0"/>
        <w:snapToGrid w:val="0"/>
        <w:spacing w:line="616" w:lineRule="exact"/>
        <w:ind w:left="0" w:leftChars="0"/>
        <w:textAlignment w:val="auto"/>
        <w:rPr>
          <w:rFonts w:ascii="宋体" w:hAnsi="宋体"/>
          <w:color w:val="000000" w:themeColor="text1"/>
          <w:u w:val="none"/>
          <w14:textFill>
            <w14:solidFill>
              <w14:schemeClr w14:val="tx1"/>
            </w14:solidFill>
          </w14:textFill>
        </w:rPr>
      </w:pPr>
      <w:r>
        <w:rPr>
          <w:rFonts w:ascii="宋体" w:hAnsi="宋体"/>
          <w:color w:val="000000" w:themeColor="text1"/>
          <w:u w:val="none"/>
          <w14:textFill>
            <w14:solidFill>
              <w14:schemeClr w14:val="tx1"/>
            </w14:solidFill>
          </w14:textFill>
        </w:rPr>
        <w:t>一、202</w:t>
      </w:r>
      <w:r>
        <w:rPr>
          <w:rFonts w:hint="eastAsia" w:ascii="宋体" w:hAnsi="宋体"/>
          <w:color w:val="000000" w:themeColor="text1"/>
          <w:u w:val="none"/>
          <w:lang w:val="en-US" w:eastAsia="zh-CN"/>
          <w14:textFill>
            <w14:solidFill>
              <w14:schemeClr w14:val="tx1"/>
            </w14:solidFill>
          </w14:textFill>
        </w:rPr>
        <w:t>5</w:t>
      </w:r>
      <w:r>
        <w:rPr>
          <w:rFonts w:ascii="宋体" w:hAnsi="宋体"/>
          <w:color w:val="000000" w:themeColor="text1"/>
          <w:u w:val="none"/>
          <w14:textFill>
            <w14:solidFill>
              <w14:schemeClr w14:val="tx1"/>
            </w14:solidFill>
          </w14:textFill>
        </w:rPr>
        <w:t>年</w:t>
      </w:r>
      <w:r>
        <w:rPr>
          <w:rFonts w:hint="eastAsia" w:ascii="宋体" w:hAnsi="宋体"/>
          <w:color w:val="000000" w:themeColor="text1"/>
          <w:u w:val="none"/>
          <w:lang w:val="en-US" w:eastAsia="zh-CN"/>
          <w14:textFill>
            <w14:solidFill>
              <w14:schemeClr w14:val="tx1"/>
            </w14:solidFill>
          </w14:textFill>
        </w:rPr>
        <w:t>及</w:t>
      </w:r>
      <w:r>
        <w:rPr>
          <w:rFonts w:hint="eastAsia" w:ascii="新宋体" w:hAnsi="新宋体" w:eastAsia="新宋体" w:cs="新宋体"/>
          <w:color w:val="000000" w:themeColor="text1"/>
          <w:u w:val="none"/>
          <w:lang w:val="en-US" w:eastAsia="zh-CN"/>
          <w14:textFill>
            <w14:solidFill>
              <w14:schemeClr w14:val="tx1"/>
            </w14:solidFill>
          </w14:textFill>
        </w:rPr>
        <w:t>“</w:t>
      </w:r>
      <w:r>
        <w:rPr>
          <w:rFonts w:hint="eastAsia" w:ascii="宋体" w:hAnsi="宋体"/>
          <w:color w:val="000000" w:themeColor="text1"/>
          <w:u w:val="none"/>
          <w:lang w:val="en-US" w:eastAsia="zh-CN"/>
          <w14:textFill>
            <w14:solidFill>
              <w14:schemeClr w14:val="tx1"/>
            </w14:solidFill>
          </w14:textFill>
        </w:rPr>
        <w:t>十四五</w:t>
      </w:r>
      <w:r>
        <w:rPr>
          <w:rFonts w:hint="eastAsia" w:ascii="新宋体" w:hAnsi="新宋体" w:eastAsia="新宋体" w:cs="新宋体"/>
          <w:color w:val="000000" w:themeColor="text1"/>
          <w:u w:val="none"/>
          <w:lang w:val="en-US" w:eastAsia="zh-CN"/>
          <w14:textFill>
            <w14:solidFill>
              <w14:schemeClr w14:val="tx1"/>
            </w14:solidFill>
          </w14:textFill>
        </w:rPr>
        <w:t>”</w:t>
      </w:r>
      <w:r>
        <w:rPr>
          <w:rFonts w:ascii="宋体" w:hAnsi="宋体"/>
          <w:color w:val="000000" w:themeColor="text1"/>
          <w:u w:val="none"/>
          <w14:textFill>
            <w14:solidFill>
              <w14:schemeClr w14:val="tx1"/>
            </w14:solidFill>
          </w14:textFill>
        </w:rPr>
        <w:t>工作回顾</w:t>
      </w:r>
    </w:p>
    <w:p w14:paraId="0770E0D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14:textFill>
            <w14:solidFill>
              <w14:schemeClr w14:val="tx1"/>
            </w14:solidFill>
          </w14:textFill>
        </w:rPr>
      </w:pPr>
      <w:r>
        <w:rPr>
          <w:rFonts w:ascii="宋体" w:hAnsi="宋体" w:eastAsia="仿宋_GB2312"/>
          <w:b/>
          <w:color w:val="000000" w:themeColor="text1"/>
          <w:sz w:val="32"/>
          <w:szCs w:val="32"/>
          <w:u w:val="none"/>
          <w14:textFill>
            <w14:solidFill>
              <w14:schemeClr w14:val="tx1"/>
            </w14:solidFill>
          </w14:textFill>
        </w:rPr>
        <w:t>过去一年，</w:t>
      </w:r>
      <w:r>
        <w:rPr>
          <w:rFonts w:hint="eastAsia" w:ascii="宋体" w:hAnsi="宋体" w:eastAsia="仿宋_GB2312"/>
          <w:b/>
          <w:color w:val="000000" w:themeColor="text1"/>
          <w:sz w:val="32"/>
          <w:szCs w:val="32"/>
          <w:u w:val="none"/>
          <w:lang w:val="en-US" w:eastAsia="zh-CN"/>
          <w14:textFill>
            <w14:solidFill>
              <w14:schemeClr w14:val="tx1"/>
            </w14:solidFill>
          </w14:textFill>
        </w:rPr>
        <w:t>我们</w:t>
      </w:r>
      <w:r>
        <w:rPr>
          <w:rFonts w:ascii="宋体" w:hAnsi="宋体" w:eastAsia="仿宋_GB2312"/>
          <w:b/>
          <w:color w:val="000000" w:themeColor="text1"/>
          <w:sz w:val="32"/>
          <w:szCs w:val="32"/>
          <w:u w:val="none"/>
          <w14:textFill>
            <w14:solidFill>
              <w14:schemeClr w14:val="tx1"/>
            </w14:solidFill>
          </w14:textFill>
        </w:rPr>
        <w:t>坚持以习近平新时代中国特色社会主义思想为指导，</w:t>
      </w:r>
      <w:r>
        <w:rPr>
          <w:rFonts w:hint="eastAsia" w:ascii="宋体" w:hAnsi="宋体" w:eastAsia="仿宋_GB2312"/>
          <w:b/>
          <w:color w:val="000000" w:themeColor="text1"/>
          <w:sz w:val="32"/>
          <w:szCs w:val="32"/>
          <w:u w:val="none"/>
          <w:lang w:val="en-US" w:eastAsia="zh-CN"/>
          <w14:textFill>
            <w14:solidFill>
              <w14:schemeClr w14:val="tx1"/>
            </w14:solidFill>
          </w14:textFill>
        </w:rPr>
        <w:t>全面</w:t>
      </w:r>
      <w:r>
        <w:rPr>
          <w:rFonts w:ascii="宋体" w:hAnsi="宋体" w:eastAsia="仿宋_GB2312"/>
          <w:b/>
          <w:color w:val="000000" w:themeColor="text1"/>
          <w:sz w:val="32"/>
          <w:szCs w:val="32"/>
          <w:u w:val="none"/>
          <w14:textFill>
            <w14:solidFill>
              <w14:schemeClr w14:val="tx1"/>
            </w14:solidFill>
          </w14:textFill>
        </w:rPr>
        <w:t>贯彻党的二十大和二十届</w:t>
      </w:r>
      <w:r>
        <w:rPr>
          <w:rFonts w:hint="eastAsia" w:ascii="宋体" w:hAnsi="宋体" w:eastAsia="仿宋_GB2312"/>
          <w:b/>
          <w:color w:val="000000" w:themeColor="text1"/>
          <w:sz w:val="32"/>
          <w:szCs w:val="32"/>
          <w:u w:val="none"/>
          <w:lang w:val="en-US" w:eastAsia="zh-CN"/>
          <w14:textFill>
            <w14:solidFill>
              <w14:schemeClr w14:val="tx1"/>
            </w14:solidFill>
          </w14:textFill>
        </w:rPr>
        <w:t>历次全会</w:t>
      </w:r>
      <w:r>
        <w:rPr>
          <w:rFonts w:ascii="宋体" w:hAnsi="宋体" w:eastAsia="仿宋_GB2312"/>
          <w:b/>
          <w:color w:val="000000" w:themeColor="text1"/>
          <w:sz w:val="32"/>
          <w:szCs w:val="32"/>
          <w:u w:val="none"/>
          <w14:textFill>
            <w14:solidFill>
              <w14:schemeClr w14:val="tx1"/>
            </w14:solidFill>
          </w14:textFill>
        </w:rPr>
        <w:t>精神，</w:t>
      </w:r>
      <w:r>
        <w:rPr>
          <w:rFonts w:hint="eastAsia" w:ascii="宋体" w:hAnsi="宋体" w:eastAsia="仿宋_GB2312"/>
          <w:b/>
          <w:strike w:val="0"/>
          <w:dstrike w:val="0"/>
          <w:color w:val="000000" w:themeColor="text1"/>
          <w:sz w:val="32"/>
          <w:szCs w:val="32"/>
          <w:u w:val="none"/>
          <w:lang w:val="en-US" w:eastAsia="zh-CN"/>
          <w14:textFill>
            <w14:solidFill>
              <w14:schemeClr w14:val="tx1"/>
            </w14:solidFill>
          </w14:textFill>
        </w:rPr>
        <w:t>认真落实党中央决策部署和省委、</w:t>
      </w:r>
      <w:r>
        <w:rPr>
          <w:rFonts w:ascii="宋体" w:hAnsi="宋体" w:eastAsia="仿宋_GB2312"/>
          <w:b/>
          <w:strike w:val="0"/>
          <w:dstrike w:val="0"/>
          <w:color w:val="000000" w:themeColor="text1"/>
          <w:sz w:val="32"/>
          <w:szCs w:val="32"/>
          <w:u w:val="none"/>
          <w14:textFill>
            <w14:solidFill>
              <w14:schemeClr w14:val="tx1"/>
            </w14:solidFill>
          </w14:textFill>
        </w:rPr>
        <w:t>市委</w:t>
      </w:r>
      <w:r>
        <w:rPr>
          <w:rFonts w:hint="eastAsia" w:ascii="宋体" w:hAnsi="宋体" w:eastAsia="仿宋_GB2312"/>
          <w:b/>
          <w:strike w:val="0"/>
          <w:dstrike w:val="0"/>
          <w:color w:val="000000" w:themeColor="text1"/>
          <w:sz w:val="32"/>
          <w:szCs w:val="32"/>
          <w:u w:val="none"/>
          <w:lang w:val="en-US" w:eastAsia="zh-CN"/>
          <w14:textFill>
            <w14:solidFill>
              <w14:schemeClr w14:val="tx1"/>
            </w14:solidFill>
          </w14:textFill>
        </w:rPr>
        <w:t>工作要求，</w:t>
      </w:r>
      <w:r>
        <w:rPr>
          <w:rFonts w:hint="eastAsia" w:ascii="宋体" w:hAnsi="宋体" w:eastAsia="仿宋_GB2312"/>
          <w:b/>
          <w:color w:val="000000" w:themeColor="text1"/>
          <w:sz w:val="32"/>
          <w:szCs w:val="32"/>
          <w:u w:val="none"/>
          <w:lang w:val="en-US" w:eastAsia="zh-CN"/>
          <w14:textFill>
            <w14:solidFill>
              <w14:schemeClr w14:val="tx1"/>
            </w14:solidFill>
          </w14:textFill>
        </w:rPr>
        <w:t>在区</w:t>
      </w:r>
      <w:r>
        <w:rPr>
          <w:rFonts w:ascii="宋体" w:hAnsi="宋体" w:eastAsia="仿宋_GB2312"/>
          <w:b/>
          <w:color w:val="000000" w:themeColor="text1"/>
          <w:sz w:val="32"/>
          <w:szCs w:val="32"/>
          <w:u w:val="none"/>
          <w14:textFill>
            <w14:solidFill>
              <w14:schemeClr w14:val="tx1"/>
            </w14:solidFill>
          </w14:textFill>
        </w:rPr>
        <w:t>委的坚强领导下，在区人大、区政协的监督支持下，按照“1364”工作思路，</w:t>
      </w:r>
      <w:r>
        <w:rPr>
          <w:rFonts w:hint="eastAsia" w:ascii="宋体" w:hAnsi="宋体" w:eastAsia="仿宋_GB2312"/>
          <w:b/>
          <w:color w:val="000000" w:themeColor="text1"/>
          <w:sz w:val="32"/>
          <w:szCs w:val="32"/>
          <w:u w:val="none"/>
          <w14:textFill>
            <w14:solidFill>
              <w14:schemeClr w14:val="tx1"/>
            </w14:solidFill>
          </w14:textFill>
        </w:rPr>
        <w:t>全力以赴拼经济、抓项目、防风险、惠民生，经济社会保持平稳健康发展。</w:t>
      </w:r>
      <w:r>
        <w:rPr>
          <w:rFonts w:hint="eastAsia" w:ascii="宋体" w:hAnsi="宋体" w:eastAsia="仿宋_GB2312"/>
          <w:b/>
          <w:color w:val="000000" w:themeColor="text1"/>
          <w:sz w:val="32"/>
          <w:szCs w:val="32"/>
          <w:u w:val="none"/>
          <w:lang w:val="en-US" w:eastAsia="zh-CN"/>
          <w14:textFill>
            <w14:solidFill>
              <w14:schemeClr w14:val="tx1"/>
            </w14:solidFill>
          </w14:textFill>
        </w:rPr>
        <w:t>全区</w:t>
      </w:r>
      <w:r>
        <w:rPr>
          <w:rFonts w:hint="eastAsia" w:ascii="宋体" w:hAnsi="宋体" w:eastAsia="仿宋_GB2312"/>
          <w:b/>
          <w:color w:val="000000" w:themeColor="text1"/>
          <w:sz w:val="32"/>
          <w:szCs w:val="32"/>
          <w:u w:val="none"/>
          <w14:textFill>
            <w14:solidFill>
              <w14:schemeClr w14:val="tx1"/>
            </w14:solidFill>
          </w14:textFill>
        </w:rPr>
        <w:t>地区生产总值增长</w:t>
      </w:r>
      <w:r>
        <w:rPr>
          <w:rFonts w:hint="eastAsia" w:ascii="宋体" w:hAnsi="宋体" w:eastAsia="仿宋_GB2312"/>
          <w:b/>
          <w:color w:val="000000" w:themeColor="text1"/>
          <w:sz w:val="32"/>
          <w:szCs w:val="32"/>
          <w:u w:val="none"/>
          <w:lang w:val="en-US" w:eastAsia="zh-CN"/>
          <w14:textFill>
            <w14:solidFill>
              <w14:schemeClr w14:val="tx1"/>
            </w14:solidFill>
          </w14:textFill>
        </w:rPr>
        <w:t>2.4</w:t>
      </w:r>
      <w:r>
        <w:rPr>
          <w:rFonts w:hint="eastAsia" w:ascii="宋体" w:hAnsi="宋体" w:eastAsia="仿宋_GB2312"/>
          <w:b/>
          <w:color w:val="000000" w:themeColor="text1"/>
          <w:sz w:val="32"/>
          <w:szCs w:val="32"/>
          <w:u w:val="none"/>
          <w14:textFill>
            <w14:solidFill>
              <w14:schemeClr w14:val="tx1"/>
            </w14:solidFill>
          </w14:textFill>
        </w:rPr>
        <w:t>%，</w:t>
      </w:r>
      <w:r>
        <w:rPr>
          <w:rFonts w:hint="eastAsia" w:ascii="宋体" w:hAnsi="宋体" w:eastAsia="仿宋_GB2312"/>
          <w:b/>
          <w:color w:val="000000" w:themeColor="text1"/>
          <w:sz w:val="32"/>
          <w:szCs w:val="32"/>
          <w:u w:val="none"/>
          <w:lang w:val="en-US" w:eastAsia="zh-CN"/>
          <w14:textFill>
            <w14:solidFill>
              <w14:schemeClr w14:val="tx1"/>
            </w14:solidFill>
          </w14:textFill>
        </w:rPr>
        <w:t>社会消费品零售总额增长4.8%，外贸进出口增长29.6%，一般公共预算收入增长3.2%，居民人均可支配收入增长4.8%。</w:t>
      </w:r>
    </w:p>
    <w:p w14:paraId="441A2EF2">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b/>
          <w:color w:val="000000" w:themeColor="text1"/>
          <w:sz w:val="32"/>
          <w:szCs w:val="32"/>
          <w:u w:val="none"/>
          <w14:textFill>
            <w14:solidFill>
              <w14:schemeClr w14:val="tx1"/>
            </w14:solidFill>
          </w14:textFill>
        </w:rPr>
        <w:t>（</w:t>
      </w:r>
      <w:r>
        <w:rPr>
          <w:rFonts w:hint="eastAsia" w:ascii="宋体" w:hAnsi="宋体" w:eastAsia="楷体_GB2312"/>
          <w:b/>
          <w:color w:val="000000" w:themeColor="text1"/>
          <w:sz w:val="32"/>
          <w:szCs w:val="32"/>
          <w:u w:val="none"/>
          <w:lang w:val="en-US" w:eastAsia="zh-CN"/>
          <w14:textFill>
            <w14:solidFill>
              <w14:schemeClr w14:val="tx1"/>
            </w14:solidFill>
          </w14:textFill>
        </w:rPr>
        <w:t>一</w:t>
      </w:r>
      <w:r>
        <w:rPr>
          <w:rFonts w:hint="eastAsia" w:ascii="宋体" w:hAnsi="宋体" w:eastAsia="楷体_GB2312"/>
          <w:b/>
          <w:color w:val="000000" w:themeColor="text1"/>
          <w:sz w:val="32"/>
          <w:szCs w:val="32"/>
          <w:u w:val="none"/>
          <w14:textFill>
            <w14:solidFill>
              <w14:schemeClr w14:val="tx1"/>
            </w14:solidFill>
          </w14:textFill>
        </w:rPr>
        <w:t>）</w:t>
      </w:r>
      <w:r>
        <w:rPr>
          <w:rFonts w:hint="eastAsia" w:ascii="宋体" w:hAnsi="宋体" w:eastAsia="楷体_GB2312"/>
          <w:b/>
          <w:color w:val="000000" w:themeColor="text1"/>
          <w:sz w:val="32"/>
          <w:szCs w:val="32"/>
          <w:u w:val="none"/>
          <w:lang w:val="en-US" w:eastAsia="zh-CN"/>
          <w14:textFill>
            <w14:solidFill>
              <w14:schemeClr w14:val="tx1"/>
            </w14:solidFill>
          </w14:textFill>
        </w:rPr>
        <w:t>转型升级步伐加快，现代化产业体系加速构建</w:t>
      </w:r>
    </w:p>
    <w:p w14:paraId="3D9F3D2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b/>
          <w:strike/>
          <w:dstrike w:val="0"/>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工业经济向“新”提质。深入实施工业强区战略，全力应对钢铁产量压减冲击，迎难而上、精准发力，规上工业增加值增长2%。“3+2”主导产业集聚发展，服务保障宝武对山钢股份钢城基地一体化支撑项目，实施泓擎机器人等产业项目44个、“老树发新枝”项目40个、工业技改项目113个，主导产业产值占比达到95.2%，粉末冶金特色产业集群入选省级中小企业特色产业集群。新质生产力加快培育，落地智能激光装备等新兴产业项目19个，新增国家级专精特新“小巨人”企业、省级创新型中小企业等品牌企业28家，完成26家企业数字化改造，6家企业产品入选“好品山东”“泉城好品”，10家企业入选省级高端品牌培育企业。稳步推进绿色转型，市级以上绿色工厂、绿色供应链企业达到32家</w:t>
      </w:r>
      <w:r>
        <w:rPr>
          <w:rFonts w:hint="eastAsia" w:ascii="宋体" w:hAnsi="宋体" w:eastAsia="仿宋_GB2312"/>
          <w:b/>
          <w:strike w:val="0"/>
          <w:dstrike w:val="0"/>
          <w:color w:val="000000" w:themeColor="text1"/>
          <w:sz w:val="32"/>
          <w:szCs w:val="32"/>
          <w:u w:val="none"/>
          <w:lang w:val="en-US" w:eastAsia="zh-CN"/>
          <w14:textFill>
            <w14:solidFill>
              <w14:schemeClr w14:val="tx1"/>
            </w14:solidFill>
          </w14:textFill>
        </w:rPr>
        <w:t>。</w:t>
      </w:r>
    </w:p>
    <w:p w14:paraId="0EDCBAA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现代农业向“芯”蓄势。加快种业振兴，畜禽基因编辑中心、</w:t>
      </w:r>
      <w:r>
        <w:rPr>
          <w:rFonts w:hint="eastAsia" w:ascii="宋体" w:hAnsi="宋体" w:eastAsia="仿宋_GB2312"/>
          <w:b/>
          <w:color w:val="000000" w:themeColor="text1"/>
          <w:spacing w:val="-6"/>
          <w:sz w:val="32"/>
          <w:szCs w:val="32"/>
          <w:u w:val="none"/>
          <w:lang w:val="en-US" w:eastAsia="zh-CN"/>
          <w14:textFill>
            <w14:solidFill>
              <w14:schemeClr w14:val="tx1"/>
            </w14:solidFill>
          </w14:textFill>
        </w:rPr>
        <w:t>动物P3实验室、兽药GLP/GCP平台建成，着力打造“齐鲁种芯·未来种谷”。</w:t>
      </w:r>
      <w:r>
        <w:rPr>
          <w:rFonts w:hint="eastAsia" w:ascii="宋体" w:hAnsi="宋体" w:eastAsia="仿宋_GB2312"/>
          <w:b/>
          <w:color w:val="000000" w:themeColor="text1"/>
          <w:sz w:val="32"/>
          <w:szCs w:val="32"/>
          <w:u w:val="none"/>
          <w:lang w:val="en-US" w:eastAsia="zh-CN"/>
          <w14:textFill>
            <w14:solidFill>
              <w14:schemeClr w14:val="tx1"/>
            </w14:solidFill>
          </w14:textFill>
        </w:rPr>
        <w:t>农业产业化水平稳步提升，落地广明农牧白羽肉鸡等产业项目47个，市级以上农业龙头企业达到24家，6家企业入选全市现代农业优势产业集群。扛牢粮食安全政治责任，</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建设“千亩方”5366亩，推广水肥一体化3200亩，粮食播种面积达到6.56万亩、粮食总产量达到2.6万吨。农林牧渔业总产值增长5.7%，排名全市第1位。</w:t>
      </w:r>
    </w:p>
    <w:p w14:paraId="23A0745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现代服务业向“优”增效。持续开展服务业攻坚，抓实47项重点任务，招引落地希尔顿花园酒店等项目26个，纳入省级现代服务业重点项目6个。聚焦“两业融合”，紧盯短板行业引育，新增山钢绿电等规上服务业企业7家，推动参与核算的规上服务业营业收入增长8.6%。</w:t>
      </w:r>
    </w:p>
    <w:p w14:paraId="1F924582">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b/>
          <w:color w:val="000000" w:themeColor="text1"/>
          <w:sz w:val="32"/>
          <w:szCs w:val="32"/>
          <w:u w:val="none"/>
          <w:lang w:val="en-US" w:eastAsia="zh-CN"/>
          <w14:textFill>
            <w14:solidFill>
              <w14:schemeClr w14:val="tx1"/>
            </w14:solidFill>
          </w14:textFill>
        </w:rPr>
        <w:t>（二）投资消费协同发力，经济增长基础更加稳固</w:t>
      </w:r>
    </w:p>
    <w:p w14:paraId="6A4CB72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项目建设支撑力进一步增强。以“项目提升年”为总牵引，沿链谋划储备项目203个</w:t>
      </w:r>
      <w:r>
        <w:rPr>
          <w:rFonts w:hint="eastAsia" w:ascii="宋体" w:hAnsi="宋体" w:eastAsia="仿宋_GB2312"/>
          <w:b/>
          <w:strike w:val="0"/>
          <w:dstrike w:val="0"/>
          <w:color w:val="000000" w:themeColor="text1"/>
          <w:sz w:val="32"/>
          <w:szCs w:val="32"/>
          <w:u w:val="none"/>
          <w:lang w:val="en-US" w:eastAsia="zh-CN"/>
          <w14:textFill>
            <w14:solidFill>
              <w14:schemeClr w14:val="tx1"/>
            </w14:solidFill>
          </w14:textFill>
        </w:rPr>
        <w:t>、总投资552亿元</w:t>
      </w:r>
      <w:r>
        <w:rPr>
          <w:rFonts w:hint="eastAsia" w:ascii="宋体" w:hAnsi="宋体" w:eastAsia="仿宋_GB2312"/>
          <w:b/>
          <w:color w:val="000000" w:themeColor="text1"/>
          <w:sz w:val="32"/>
          <w:szCs w:val="32"/>
          <w:u w:val="none"/>
          <w:lang w:val="en-US" w:eastAsia="zh-CN"/>
          <w14:textFill>
            <w14:solidFill>
              <w14:schemeClr w14:val="tx1"/>
            </w14:solidFill>
          </w14:textFill>
        </w:rPr>
        <w:t>，实施11个省级、24个市级、139个区级重点项目，以“四抓四提升”推动项目建设，重点项目对投资的支撑率达到92.4%。对上争取积极有效，获批中央预算内资金、地方政府专项债券等项目16个，争取政策性资金4.5亿元。</w:t>
      </w:r>
    </w:p>
    <w:p w14:paraId="20D108A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招商引资实效性进一步提高。聚焦九大重点产业链群，完善“一图两清单”，强化“七个协同”招商，重点洽谈项目293个。列入市招商引资项目库过亿元项目143个、10亿元以上项目23个，主导产业项目占比77%，分别排名全市第3、第4、第4位。落地畅达著金等项目129个、总投资203.7亿元，招商引资项目对全区投资、工业投资贡献率分别达到26.4%、51.3%。</w:t>
      </w:r>
    </w:p>
    <w:p w14:paraId="6AA4506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消费市场活跃度进一步提升。举办“以旧换新”等区级促消费活动26场，招引品牌首店、知名连锁商店14家，新培育限上商贸企业72家</w:t>
      </w:r>
      <w:r>
        <w:rPr>
          <w:rFonts w:hint="eastAsia" w:ascii="宋体" w:hAnsi="宋体" w:eastAsia="仿宋_GB2312"/>
          <w:b/>
          <w:color w:val="000000" w:themeColor="text1"/>
          <w:sz w:val="32"/>
          <w:szCs w:val="32"/>
          <w14:textFill>
            <w14:solidFill>
              <w14:schemeClr w14:val="tx1"/>
            </w14:solidFill>
          </w14:textFill>
        </w:rPr>
        <w:t>，消费拉动作用凸显。</w:t>
      </w:r>
      <w:r>
        <w:rPr>
          <w:rFonts w:hint="eastAsia" w:ascii="宋体" w:hAnsi="宋体" w:eastAsia="仿宋_GB2312"/>
          <w:b/>
          <w:color w:val="000000" w:themeColor="text1"/>
          <w:sz w:val="32"/>
          <w:szCs w:val="32"/>
          <w:u w:val="none"/>
          <w:lang w:val="en-US" w:eastAsia="zh-CN"/>
          <w14:textFill>
            <w14:solidFill>
              <w14:schemeClr w14:val="tx1"/>
            </w14:solidFill>
          </w14:textFill>
        </w:rPr>
        <w:t>打造“跟着赛事游钢城”活动品牌，承办举办全国象棋锦标赛等省级以</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上赛事12场，建成鹿小七农场等文旅新场景4个，九龙山自驾营地获评全国汽车自驾运动营地，</w:t>
      </w:r>
      <w:r>
        <w:rPr>
          <w:rFonts w:hint="eastAsia" w:ascii="宋体" w:hAnsi="宋体" w:eastAsia="仿宋_GB2312"/>
          <w:b/>
          <w:color w:val="000000" w:themeColor="text1"/>
          <w:sz w:val="32"/>
          <w:szCs w:val="32"/>
          <w:u w:val="none"/>
          <w:lang w:val="en-US" w:eastAsia="zh-CN"/>
          <w14:textFill>
            <w14:solidFill>
              <w14:schemeClr w14:val="tx1"/>
            </w14:solidFill>
          </w14:textFill>
        </w:rPr>
        <w:t>澜头古村落获评3A级旅</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游景区，</w:t>
      </w:r>
      <w:r>
        <w:rPr>
          <w:rFonts w:hint="eastAsia" w:ascii="宋体" w:hAnsi="宋体" w:eastAsia="仿宋_GB2312"/>
          <w:b/>
          <w:color w:val="000000" w:themeColor="text1"/>
          <w:sz w:val="32"/>
          <w:szCs w:val="32"/>
          <w:u w:val="none"/>
          <w:lang w:val="en-US" w:eastAsia="zh-CN"/>
          <w14:textFill>
            <w14:solidFill>
              <w14:schemeClr w14:val="tx1"/>
            </w14:solidFill>
          </w14:textFill>
        </w:rPr>
        <w:t>吸引游客80余万人次。</w:t>
      </w:r>
    </w:p>
    <w:p w14:paraId="685232F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b/>
          <w:color w:val="000000" w:themeColor="text1"/>
          <w:sz w:val="32"/>
          <w:szCs w:val="32"/>
          <w:u w:val="none"/>
          <w:lang w:val="en-US" w:eastAsia="zh-CN"/>
          <w14:textFill>
            <w14:solidFill>
              <w14:schemeClr w14:val="tx1"/>
            </w14:solidFill>
          </w14:textFill>
        </w:rPr>
        <w:t>（三）改革创新深入推进，发展活力不断增强</w:t>
      </w:r>
    </w:p>
    <w:p w14:paraId="51C4DBD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重点改革持续推进。争创全国示范性老年友好型社区试点、全省“产业大脑”建设试点等省级以上改革试点、示范19个。深化国企改革，完善市场运营、风险防控、监督管理机制，民生实业、昌源水务等区属国企竞争力和抗风险能力不断提升。稳步推进财税体制改革，健全以绩效为导向的预算管理体系，加强财政资源统筹，提升资金使用效益。</w:t>
      </w:r>
    </w:p>
    <w:p w14:paraId="2E63A35E">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营商环境持续优化。制定优化营商环境36项改革任务，推动政务服务“高效办成一件事”好办易办，1347个事项实现全程网办。健全企业准入、准营、变更、退出全链条服务机制，新登记市场主体2450家。完善“钢好办·每月谈”惠企服务机制，用好“泉惠企”服务平台，企业诉求反映与问题解决更加便捷高效。服务实体经济融资需求，新增科创贷、绿色转型贷等企业贷款12亿元。开展涉企行政执法突出问题专项整治，规范公开涉企检查事项283项，涉企行政检查数量大幅下降。</w:t>
      </w:r>
    </w:p>
    <w:p w14:paraId="59454F7D">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创新创业持续深化。聚焦“强产业、育主体、搭平台、促转化、聚要素、优环境”，统筹推进43项重点任务落实。</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开展</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千企万户</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大走访，摸排</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1800余家市场主体</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双创</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需求</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，推动</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160余项政策、融资、扩产扩能需求</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落地转化。加</w:t>
      </w:r>
      <w:r>
        <w:rPr>
          <w:rFonts w:hint="eastAsia" w:cs="Times New Roman"/>
          <w:b/>
          <w:color w:val="000000" w:themeColor="text1"/>
          <w:sz w:val="32"/>
          <w:szCs w:val="32"/>
          <w:u w:val="none"/>
          <w:lang w:val="en-US" w:eastAsia="zh-CN"/>
          <w14:textFill>
            <w14:solidFill>
              <w14:schemeClr w14:val="tx1"/>
            </w14:solidFill>
          </w14:textFill>
        </w:rPr>
        <w:t>强</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主体培育，建立“1+2+3”六类企业梯度培育机制，新增初创企业709家，新认定科技型中小企业147家，32家高新技术企业通过评审。夯实载体支撑，区科创中心等3个研发创新载体、开发区创新创业示范园等4个转化承接载体基本建成。</w:t>
      </w:r>
    </w:p>
    <w:p w14:paraId="49616D59">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56"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pacing w:val="6"/>
          <w:sz w:val="32"/>
          <w:szCs w:val="32"/>
          <w:u w:val="none"/>
          <w:lang w:val="en-US" w:eastAsia="zh-CN"/>
          <w14:textFill>
            <w14:solidFill>
              <w14:schemeClr w14:val="tx1"/>
            </w14:solidFill>
          </w14:textFill>
        </w:rPr>
        <w:t>科技创新持续增强。山钢股份获批筹建“山东省先进钢铁材</w:t>
      </w:r>
      <w:r>
        <w:rPr>
          <w:rFonts w:hint="eastAsia" w:ascii="宋体" w:hAnsi="宋体" w:eastAsia="仿宋_GB2312"/>
          <w:b/>
          <w:color w:val="000000" w:themeColor="text1"/>
          <w:sz w:val="32"/>
          <w:szCs w:val="32"/>
          <w:u w:val="none"/>
          <w:lang w:val="en-US" w:eastAsia="zh-CN"/>
          <w14:textFill>
            <w14:solidFill>
              <w14:schemeClr w14:val="tx1"/>
            </w14:solidFill>
          </w14:textFill>
        </w:rPr>
        <w:t>料与流程重点实验室”，新备案市级重点实验室4家。深化产学研协同，指导21家企业申报省、市科技计划项目23个，1个项目获省科学技术进步奖二等奖。技术合同成交额8.5亿元，高价值发明专利达到543件，同比分别增长6.3%、12%。全社会研发经费投入占比达到4.79%，高于全省、全市平均水平2.15个、1.79个百分点，排名全市第2位。</w:t>
      </w:r>
    </w:p>
    <w:p w14:paraId="2CD3AB5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楷体_GB2312"/>
          <w:b/>
          <w:color w:val="000000" w:themeColor="text1"/>
          <w:sz w:val="32"/>
          <w:szCs w:val="32"/>
          <w:u w:val="none"/>
          <w:lang w:val="en-US" w:eastAsia="zh-CN"/>
          <w14:textFill>
            <w14:solidFill>
              <w14:schemeClr w14:val="tx1"/>
            </w14:solidFill>
          </w14:textFill>
        </w:rPr>
        <w:t>（四）规划引领建管融合，城市功能品质稳步提升</w:t>
      </w:r>
    </w:p>
    <w:p w14:paraId="3D67347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规划体系逐步完善。强化规划统筹衔接，区国土空间分区规划获批，完成“三区三线”划定，新增城镇建设用地9.6平方公里，建设用地达到69平方公里。</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因地制宜优化城乡空间布局，</w:t>
      </w:r>
      <w:r>
        <w:rPr>
          <w:rFonts w:hint="eastAsia" w:ascii="宋体" w:hAnsi="宋体" w:eastAsia="仿宋_GB2312"/>
          <w:b/>
          <w:color w:val="000000" w:themeColor="text1"/>
          <w:sz w:val="32"/>
          <w:szCs w:val="32"/>
          <w:u w:val="none"/>
          <w:lang w:val="en-US" w:eastAsia="zh-CN"/>
          <w14:textFill>
            <w14:solidFill>
              <w14:schemeClr w14:val="tx1"/>
            </w14:solidFill>
          </w14:textFill>
        </w:rPr>
        <w:t>艾山、颜庄、汶源、里辛、莱钢五</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个片区控规和辛庄街道国土空间规划获批，差异化推进村庄规划编制，我区建区以来首次实现法定控规全覆盖。</w:t>
      </w:r>
    </w:p>
    <w:p w14:paraId="0C986A25">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城市更新稳步推进。艾山片区</w:t>
      </w:r>
      <w:r>
        <w:rPr>
          <w:rFonts w:hint="eastAsia" w:ascii="宋体" w:hAnsi="宋体" w:eastAsia="仿宋_GB2312"/>
          <w:b/>
          <w:color w:val="000000" w:themeColor="text1"/>
          <w:sz w:val="32"/>
          <w:szCs w:val="32"/>
          <w:u w:val="none"/>
          <w:lang w:val="en-US" w:eastAsia="zh-CN"/>
          <w14:textFill>
            <w14:solidFill>
              <w14:schemeClr w14:val="tx1"/>
            </w14:solidFill>
          </w14:textFill>
        </w:rPr>
        <w:t>南北城子坡安置区完成分房，保障性租赁住房等8个项目完工交付，高家庄安置区18栋楼全部建成主体，桲椤安置区加快建设。完成15个小区供水、18个小区供暖、20个小区供电改造，惠及1.2万户居民。加大“好房子”建设力度，绿城·明月观澜竣工交付，新开工博观澜庭等3个高品质住宅项目。建设公园游园4处，新增绿化面积4.3万平方米。双泉路建成通车，改造提升汶水路南段等市政道路4条。</w:t>
      </w:r>
    </w:p>
    <w:p w14:paraId="72F1315B">
      <w:pPr>
        <w:pStyle w:val="4"/>
        <w:keepNext w:val="0"/>
        <w:keepLines w:val="0"/>
        <w:pageBreakBefore w:val="0"/>
        <w:widowControl w:val="0"/>
        <w:kinsoku/>
        <w:wordWrap/>
        <w:overflowPunct w:val="0"/>
        <w:topLinePunct w:val="0"/>
        <w:autoSpaceDE/>
        <w:autoSpaceDN/>
        <w:bidi w:val="0"/>
        <w:adjustRightInd/>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城市管理更加精细。健全区城管委工作机制和网格化管理体系，开展城市道路保洁、交通设施养护等十六项提升行动，推动城市管理精细化、常态化，12345市民服务热线城市管理类工单下降33.3%。深入开展拆违拆临、占道经营等专项整治，新建</w:t>
      </w:r>
      <w:r>
        <w:rPr>
          <w:rFonts w:hint="eastAsia"/>
          <w:b/>
          <w:color w:val="000000" w:themeColor="text1"/>
          <w:sz w:val="32"/>
          <w:szCs w:val="32"/>
          <w:u w:val="none"/>
          <w:lang w:val="en-US" w:eastAsia="zh-CN"/>
          <w14:textFill>
            <w14:solidFill>
              <w14:schemeClr w14:val="tx1"/>
            </w14:solidFill>
          </w14:textFill>
        </w:rPr>
        <w:t>、</w:t>
      </w:r>
      <w:r>
        <w:rPr>
          <w:rFonts w:hint="eastAsia" w:ascii="宋体" w:hAnsi="宋体" w:eastAsia="仿宋_GB2312"/>
          <w:b/>
          <w:color w:val="000000" w:themeColor="text1"/>
          <w:sz w:val="32"/>
          <w:szCs w:val="32"/>
          <w:u w:val="none"/>
          <w:lang w:val="en-US" w:eastAsia="zh-CN"/>
          <w14:textFill>
            <w14:solidFill>
              <w14:schemeClr w14:val="tx1"/>
            </w14:solidFill>
          </w14:textFill>
        </w:rPr>
        <w:t>提升便民疏导点7处，提升改造广告牌匾及外立面2万平方米，亮化楼体1万余平方米。持续定期开展全域环境卫生大扫除，完成健康街等11条背街小巷整治，环境面貌持续改善。</w:t>
      </w:r>
    </w:p>
    <w:p w14:paraId="31AFF1BC">
      <w:pPr>
        <w:pStyle w:val="4"/>
        <w:keepNext w:val="0"/>
        <w:keepLines w:val="0"/>
        <w:pageBreakBefore w:val="0"/>
        <w:widowControl w:val="0"/>
        <w:kinsoku/>
        <w:wordWrap/>
        <w:overflowPunct w:val="0"/>
        <w:topLinePunct w:val="0"/>
        <w:autoSpaceDE/>
        <w:autoSpaceDN/>
        <w:bidi w:val="0"/>
        <w:adjustRightInd/>
        <w:snapToGrid w:val="0"/>
        <w:spacing w:after="0" w:line="616" w:lineRule="exact"/>
        <w:ind w:left="0" w:leftChars="0" w:firstLine="632" w:firstLineChars="200"/>
        <w:textAlignment w:val="auto"/>
        <w:rPr>
          <w:rFonts w:hint="default" w:ascii="宋体" w:hAnsi="宋体" w:eastAsia="楷体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（五）乡村振兴扎实推进，乡村发展持续向好</w:t>
      </w:r>
    </w:p>
    <w:p w14:paraId="03E63421">
      <w:pPr>
        <w:pStyle w:val="4"/>
        <w:keepNext w:val="0"/>
        <w:keepLines w:val="0"/>
        <w:pageBreakBefore w:val="0"/>
        <w:widowControl w:val="0"/>
        <w:kinsoku/>
        <w:wordWrap/>
        <w:overflowPunct w:val="0"/>
        <w:topLinePunct w:val="0"/>
        <w:autoSpaceDE/>
        <w:autoSpaceDN/>
        <w:bidi w:val="0"/>
        <w:adjustRightInd/>
        <w:snapToGrid w:val="0"/>
        <w:spacing w:after="0" w:line="616" w:lineRule="exact"/>
        <w:ind w:left="0" w:leftChars="0" w:firstLine="632" w:firstLineChars="200"/>
        <w:textAlignment w:val="auto"/>
        <w:rPr>
          <w:rFonts w:hint="default"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乡村产业加快发展。深入推进农村产权制度改革，新培育家庭农场等新型农业经营主体33家，“三变”改革村达到90%以上。因地制宜发展乡村经济，引导村办农产品加工企业规范发展，认定村级标准工坊52家，“一村一业”覆盖村达到184个。抓好农业品牌建设，钢都香肠荣获中国农业百强标志性品牌，安牧鲜奶等4个农产品荣获山东畜牧业博览会优质畜产品金奖。完善农村寄递物流体系，建设社区（村）电商服务点231个，开通冷链配送线路31条，拓宽农产品上行销售渠道。</w:t>
      </w:r>
    </w:p>
    <w:p w14:paraId="6CF5A69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乡村建设提档升级。坚持片区化推进乡村振兴，“花开辛庄”等3个片区建设成效初显，“龙韵田园”等2个片区加快推进。北田水厂开工建设，铺设供水管网16公里，高标准建设5个供水服务站，农村供水统管工作走在全市前列。新改建农村公路9.6公里，完成公路大中修15公里、安防工程20公里、危桥改造5座，九龙山旅游路获评全国“最美回乡路”典型案例，“四好农村路”桃缘路被省交通运输厅重点推介。</w:t>
      </w:r>
    </w:p>
    <w:p w14:paraId="1EBE146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56" w:firstLineChars="200"/>
        <w:textAlignment w:val="auto"/>
        <w:rPr>
          <w:rFonts w:hint="eastAsia" w:ascii="宋体" w:hAnsi="宋体" w:eastAsia="仿宋_GB2312"/>
          <w:b/>
          <w:color w:val="000000" w:themeColor="text1"/>
          <w:sz w:val="32"/>
          <w:szCs w:val="32"/>
          <w:u w:val="single"/>
          <w:lang w:val="en-US" w:eastAsia="zh-CN"/>
          <w14:textFill>
            <w14:solidFill>
              <w14:schemeClr w14:val="tx1"/>
            </w14:solidFill>
          </w14:textFill>
        </w:rPr>
      </w:pPr>
      <w:r>
        <w:rPr>
          <w:rFonts w:hint="eastAsia" w:ascii="宋体" w:hAnsi="宋体" w:eastAsia="仿宋_GB2312"/>
          <w:b/>
          <w:color w:val="000000" w:themeColor="text1"/>
          <w:spacing w:val="6"/>
          <w:sz w:val="32"/>
          <w:szCs w:val="32"/>
          <w:u w:val="none"/>
          <w:lang w:val="en-US" w:eastAsia="zh-CN"/>
          <w14:textFill>
            <w14:solidFill>
              <w14:schemeClr w14:val="tx1"/>
            </w14:solidFill>
          </w14:textFill>
        </w:rPr>
        <w:t>乡村治理富有成效。以打造市级基层治理创新实验项目为抓</w:t>
      </w:r>
      <w:r>
        <w:rPr>
          <w:rFonts w:hint="eastAsia" w:ascii="宋体" w:hAnsi="宋体" w:eastAsia="仿宋_GB2312"/>
          <w:b/>
          <w:color w:val="000000" w:themeColor="text1"/>
          <w:sz w:val="32"/>
          <w:szCs w:val="32"/>
          <w:u w:val="none"/>
          <w:lang w:val="en-US" w:eastAsia="zh-CN"/>
          <w14:textFill>
            <w14:solidFill>
              <w14:schemeClr w14:val="tx1"/>
            </w14:solidFill>
          </w14:textFill>
        </w:rPr>
        <w:t>手，深化基层村民自治实践，深入开展“法治乡村”“出彩人家”创建活动，将环境整治、孝老爱亲等纳入“文明积分超市”管理，大力倡树乡风文明，沙岭子村被评为全国文明村，乔店村等9个村入选全市数字和美乡村。</w:t>
      </w:r>
      <w:r>
        <w:rPr>
          <w:rFonts w:hint="default" w:ascii="宋体" w:hAnsi="宋体" w:eastAsia="仿宋_GB2312"/>
          <w:b/>
          <w:color w:val="000000" w:themeColor="text1"/>
          <w:sz w:val="32"/>
          <w:szCs w:val="32"/>
          <w:u w:val="none"/>
          <w:lang w:val="en-US" w:eastAsia="zh-CN"/>
          <w14:textFill>
            <w14:solidFill>
              <w14:schemeClr w14:val="tx1"/>
            </w14:solidFill>
          </w14:textFill>
        </w:rPr>
        <w:t>农村人居环境</w:t>
      </w:r>
      <w:r>
        <w:rPr>
          <w:rFonts w:hint="eastAsia" w:ascii="宋体" w:hAnsi="宋体" w:eastAsia="仿宋_GB2312"/>
          <w:b/>
          <w:color w:val="000000" w:themeColor="text1"/>
          <w:sz w:val="32"/>
          <w:szCs w:val="32"/>
          <w:u w:val="none"/>
          <w:lang w:val="en-US" w:eastAsia="zh-CN"/>
          <w14:textFill>
            <w14:solidFill>
              <w14:schemeClr w14:val="tx1"/>
            </w14:solidFill>
          </w14:textFill>
        </w:rPr>
        <w:t>排名全市第1位</w:t>
      </w:r>
      <w:r>
        <w:rPr>
          <w:rFonts w:hint="default" w:ascii="宋体" w:hAnsi="宋体" w:eastAsia="仿宋_GB2312"/>
          <w:b/>
          <w:color w:val="000000" w:themeColor="text1"/>
          <w:sz w:val="32"/>
          <w:szCs w:val="32"/>
          <w:u w:val="none"/>
          <w:lang w:val="en-US" w:eastAsia="zh-CN"/>
          <w14:textFill>
            <w14:solidFill>
              <w14:schemeClr w14:val="tx1"/>
            </w14:solidFill>
          </w14:textFill>
        </w:rPr>
        <w:t>，</w:t>
      </w:r>
      <w:r>
        <w:rPr>
          <w:rFonts w:hint="eastAsia" w:ascii="宋体" w:hAnsi="宋体" w:eastAsia="仿宋_GB2312"/>
          <w:b/>
          <w:color w:val="000000" w:themeColor="text1"/>
          <w:sz w:val="32"/>
          <w:szCs w:val="32"/>
          <w:u w:val="none"/>
          <w:lang w:val="en-US" w:eastAsia="zh-CN"/>
          <w14:textFill>
            <w14:solidFill>
              <w14:schemeClr w14:val="tx1"/>
            </w14:solidFill>
          </w14:textFill>
        </w:rPr>
        <w:t>179个评估村全部获评市级</w:t>
      </w:r>
      <w:r>
        <w:rPr>
          <w:rFonts w:hint="default" w:ascii="宋体" w:hAnsi="宋体" w:eastAsia="仿宋_GB2312"/>
          <w:b/>
          <w:color w:val="000000" w:themeColor="text1"/>
          <w:sz w:val="32"/>
          <w:szCs w:val="32"/>
          <w:u w:val="none"/>
          <w:lang w:val="en-US" w:eastAsia="zh-CN"/>
          <w14:textFill>
            <w14:solidFill>
              <w14:schemeClr w14:val="tx1"/>
            </w14:solidFill>
          </w14:textFill>
        </w:rPr>
        <w:t>“示范引领村”。</w:t>
      </w:r>
    </w:p>
    <w:p w14:paraId="2A453E1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highlight w:val="yellow"/>
          <w:u w:val="none"/>
          <w:lang w:val="en-US" w:eastAsia="zh-CN"/>
          <w14:textFill>
            <w14:solidFill>
              <w14:schemeClr w14:val="tx1"/>
            </w14:solidFill>
          </w14:textFill>
        </w:rPr>
      </w:pPr>
      <w:r>
        <w:rPr>
          <w:rFonts w:hint="eastAsia" w:ascii="宋体" w:hAnsi="宋体" w:eastAsia="楷体_GB2312"/>
          <w:b/>
          <w:color w:val="000000" w:themeColor="text1"/>
          <w:sz w:val="32"/>
          <w:szCs w:val="32"/>
          <w:u w:val="none"/>
          <w:lang w:val="en-US" w:eastAsia="zh-CN"/>
          <w14:textFill>
            <w14:solidFill>
              <w14:schemeClr w14:val="tx1"/>
            </w14:solidFill>
          </w14:textFill>
        </w:rPr>
        <w:t>（六）民生保障坚实有力，发展成果普惠共享</w:t>
      </w:r>
    </w:p>
    <w:p w14:paraId="2FD2E036">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就业增收稳中向好。坚持就业优先，</w:t>
      </w:r>
      <w:r>
        <w:rPr>
          <w:rFonts w:hint="default" w:ascii="宋体" w:hAnsi="宋体" w:eastAsia="仿宋_GB2312"/>
          <w:b/>
          <w:color w:val="000000" w:themeColor="text1"/>
          <w:sz w:val="32"/>
          <w:szCs w:val="32"/>
          <w:u w:val="none"/>
          <w:lang w:val="en-US" w:eastAsia="zh-CN"/>
          <w14:textFill>
            <w14:solidFill>
              <w14:schemeClr w14:val="tx1"/>
            </w14:solidFill>
          </w14:textFill>
        </w:rPr>
        <w:t>成立“鲁中地区高质量充分就业联盟”，开展职业技能培训</w:t>
      </w:r>
      <w:r>
        <w:rPr>
          <w:rFonts w:hint="eastAsia" w:ascii="宋体" w:hAnsi="宋体" w:eastAsia="仿宋_GB2312"/>
          <w:b/>
          <w:color w:val="000000" w:themeColor="text1"/>
          <w:sz w:val="32"/>
          <w:szCs w:val="32"/>
          <w:u w:val="none"/>
          <w:lang w:val="en-US" w:eastAsia="zh-CN"/>
          <w14:textFill>
            <w14:solidFill>
              <w14:schemeClr w14:val="tx1"/>
            </w14:solidFill>
          </w14:textFill>
        </w:rPr>
        <w:t>3802</w:t>
      </w:r>
      <w:r>
        <w:rPr>
          <w:rFonts w:hint="default" w:ascii="宋体" w:hAnsi="宋体" w:eastAsia="仿宋_GB2312"/>
          <w:b/>
          <w:color w:val="000000" w:themeColor="text1"/>
          <w:sz w:val="32"/>
          <w:szCs w:val="32"/>
          <w:u w:val="none"/>
          <w:lang w:val="en-US" w:eastAsia="zh-CN"/>
          <w14:textFill>
            <w14:solidFill>
              <w14:schemeClr w14:val="tx1"/>
            </w14:solidFill>
          </w14:textFill>
        </w:rPr>
        <w:t>人次，新增城镇就业</w:t>
      </w:r>
      <w:r>
        <w:rPr>
          <w:rFonts w:hint="eastAsia" w:ascii="宋体" w:hAnsi="宋体" w:eastAsia="仿宋_GB2312"/>
          <w:b/>
          <w:color w:val="000000" w:themeColor="text1"/>
          <w:sz w:val="32"/>
          <w:szCs w:val="32"/>
          <w:u w:val="none"/>
          <w:lang w:val="en-US" w:eastAsia="zh-CN"/>
          <w14:textFill>
            <w14:solidFill>
              <w14:schemeClr w14:val="tx1"/>
            </w14:solidFill>
          </w14:textFill>
        </w:rPr>
        <w:t>2596</w:t>
      </w:r>
      <w:r>
        <w:rPr>
          <w:rFonts w:hint="default" w:ascii="宋体" w:hAnsi="宋体" w:eastAsia="仿宋_GB2312"/>
          <w:b/>
          <w:color w:val="000000" w:themeColor="text1"/>
          <w:sz w:val="32"/>
          <w:szCs w:val="32"/>
          <w:u w:val="none"/>
          <w:lang w:val="en-US" w:eastAsia="zh-CN"/>
          <w14:textFill>
            <w14:solidFill>
              <w14:schemeClr w14:val="tx1"/>
            </w14:solidFill>
          </w14:textFill>
        </w:rPr>
        <w:t>人，</w:t>
      </w:r>
      <w:r>
        <w:rPr>
          <w:rFonts w:hint="eastAsia" w:ascii="宋体" w:hAnsi="宋体" w:eastAsia="仿宋_GB2312"/>
          <w:b/>
          <w:color w:val="000000" w:themeColor="text1"/>
          <w:sz w:val="32"/>
          <w:szCs w:val="32"/>
          <w:u w:val="none"/>
          <w:lang w:val="en-US" w:eastAsia="zh-CN"/>
          <w14:textFill>
            <w14:solidFill>
              <w14:schemeClr w14:val="tx1"/>
            </w14:solidFill>
          </w14:textFill>
        </w:rPr>
        <w:t>城镇失业人员再就业2381人，开发城乡公益性岗位235个</w:t>
      </w:r>
      <w:r>
        <w:rPr>
          <w:rFonts w:hint="default" w:ascii="宋体" w:hAnsi="宋体" w:eastAsia="仿宋_GB2312"/>
          <w:b/>
          <w:color w:val="000000" w:themeColor="text1"/>
          <w:sz w:val="32"/>
          <w:szCs w:val="32"/>
          <w:u w:val="none"/>
          <w:lang w:val="en-US" w:eastAsia="zh-CN"/>
          <w14:textFill>
            <w14:solidFill>
              <w14:schemeClr w14:val="tx1"/>
            </w14:solidFill>
          </w14:textFill>
        </w:rPr>
        <w:t>。</w:t>
      </w:r>
      <w:r>
        <w:rPr>
          <w:rFonts w:hint="eastAsia" w:ascii="宋体" w:hAnsi="宋体" w:eastAsia="仿宋_GB2312"/>
          <w:b/>
          <w:color w:val="000000" w:themeColor="text1"/>
          <w:sz w:val="32"/>
          <w:szCs w:val="32"/>
          <w:u w:val="none"/>
          <w:lang w:val="en-US" w:eastAsia="zh-CN"/>
          <w14:textFill>
            <w14:solidFill>
              <w14:schemeClr w14:val="tx1"/>
            </w14:solidFill>
          </w14:textFill>
        </w:rPr>
        <w:t>城乡居民人均可支配收入分别达到5.7万元、2.87万元，同比分别增长4%、5.8%。</w:t>
      </w:r>
    </w:p>
    <w:p w14:paraId="6F6DB672">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社会保障持续加强。</w:t>
      </w:r>
      <w:r>
        <w:rPr>
          <w:rFonts w:hint="default" w:ascii="宋体" w:hAnsi="宋体" w:eastAsia="仿宋_GB2312"/>
          <w:b/>
          <w:color w:val="000000" w:themeColor="text1"/>
          <w:sz w:val="32"/>
          <w:szCs w:val="32"/>
          <w:u w:val="none"/>
          <w:lang w:val="en-US" w:eastAsia="zh-CN"/>
          <w14:textFill>
            <w14:solidFill>
              <w14:schemeClr w14:val="tx1"/>
            </w14:solidFill>
          </w14:textFill>
        </w:rPr>
        <w:t>20件民生实事</w:t>
      </w:r>
      <w:r>
        <w:rPr>
          <w:rFonts w:hint="eastAsia" w:ascii="宋体" w:hAnsi="宋体" w:eastAsia="仿宋_GB2312"/>
          <w:b/>
          <w:color w:val="000000" w:themeColor="text1"/>
          <w:sz w:val="32"/>
          <w:szCs w:val="32"/>
          <w:u w:val="none"/>
          <w:lang w:val="en-US" w:eastAsia="zh-CN"/>
          <w14:textFill>
            <w14:solidFill>
              <w14:schemeClr w14:val="tx1"/>
            </w14:solidFill>
          </w14:textFill>
        </w:rPr>
        <w:t>如期完成</w:t>
      </w:r>
      <w:r>
        <w:rPr>
          <w:rFonts w:hint="default" w:ascii="宋体" w:hAnsi="宋体" w:eastAsia="仿宋_GB2312"/>
          <w:b/>
          <w:color w:val="000000" w:themeColor="text1"/>
          <w:sz w:val="32"/>
          <w:szCs w:val="32"/>
          <w:u w:val="none"/>
          <w:lang w:val="en-US" w:eastAsia="zh-CN"/>
          <w14:textFill>
            <w14:solidFill>
              <w14:schemeClr w14:val="tx1"/>
            </w14:solidFill>
          </w14:textFill>
        </w:rPr>
        <w:t>。常住人口</w:t>
      </w:r>
      <w:r>
        <w:rPr>
          <w:rFonts w:hint="eastAsia" w:ascii="宋体" w:hAnsi="宋体" w:eastAsia="仿宋_GB2312"/>
          <w:b/>
          <w:color w:val="000000" w:themeColor="text1"/>
          <w:sz w:val="32"/>
          <w:szCs w:val="32"/>
          <w:u w:val="none"/>
          <w:lang w:val="en-US" w:eastAsia="zh-CN"/>
          <w14:textFill>
            <w14:solidFill>
              <w14:schemeClr w14:val="tx1"/>
            </w14:solidFill>
          </w14:textFill>
        </w:rPr>
        <w:t>养老、</w:t>
      </w:r>
      <w:r>
        <w:rPr>
          <w:rFonts w:hint="default" w:ascii="宋体" w:hAnsi="宋体" w:eastAsia="仿宋_GB2312"/>
          <w:b/>
          <w:color w:val="000000" w:themeColor="text1"/>
          <w:sz w:val="32"/>
          <w:szCs w:val="32"/>
          <w:u w:val="none"/>
          <w:lang w:val="en-US" w:eastAsia="zh-CN"/>
          <w14:textFill>
            <w14:solidFill>
              <w14:schemeClr w14:val="tx1"/>
            </w14:solidFill>
          </w14:textFill>
        </w:rPr>
        <w:t>工伤、失业、生育保险覆盖面</w:t>
      </w:r>
      <w:r>
        <w:rPr>
          <w:rFonts w:hint="eastAsia" w:ascii="宋体" w:hAnsi="宋体" w:eastAsia="仿宋_GB2312"/>
          <w:b/>
          <w:color w:val="000000" w:themeColor="text1"/>
          <w:sz w:val="32"/>
          <w:szCs w:val="32"/>
          <w:u w:val="none"/>
          <w:lang w:val="en-US" w:eastAsia="zh-CN"/>
          <w14:textFill>
            <w14:solidFill>
              <w14:schemeClr w14:val="tx1"/>
            </w14:solidFill>
          </w14:textFill>
        </w:rPr>
        <w:t>持续扩大</w:t>
      </w:r>
      <w:r>
        <w:rPr>
          <w:rFonts w:hint="default" w:ascii="宋体" w:hAnsi="宋体" w:eastAsia="仿宋_GB2312"/>
          <w:b/>
          <w:color w:val="000000" w:themeColor="text1"/>
          <w:sz w:val="32"/>
          <w:szCs w:val="32"/>
          <w:u w:val="none"/>
          <w:lang w:val="en-US" w:eastAsia="zh-CN"/>
          <w14:textFill>
            <w14:solidFill>
              <w14:schemeClr w14:val="tx1"/>
            </w14:solidFill>
          </w14:textFill>
        </w:rPr>
        <w:t>，医保参保率稳定在98%以上</w:t>
      </w:r>
      <w:r>
        <w:rPr>
          <w:rFonts w:hint="eastAsia" w:ascii="宋体" w:hAnsi="宋体" w:eastAsia="仿宋_GB2312"/>
          <w:b/>
          <w:color w:val="000000" w:themeColor="text1"/>
          <w:sz w:val="32"/>
          <w:szCs w:val="32"/>
          <w:u w:val="none"/>
          <w:lang w:val="en-US" w:eastAsia="zh-CN"/>
          <w14:textFill>
            <w14:solidFill>
              <w14:schemeClr w14:val="tx1"/>
            </w14:solidFill>
          </w14:textFill>
        </w:rPr>
        <w:t>。提升农村幸福食堂运营服务规范化水平，设立城市社区助老驿站22家，实现养老助餐城乡全覆盖，入选民政部老年助餐典型案例。</w:t>
      </w:r>
      <w:r>
        <w:rPr>
          <w:rFonts w:hint="default" w:ascii="宋体" w:hAnsi="宋体" w:eastAsia="仿宋_GB2312"/>
          <w:b/>
          <w:color w:val="000000" w:themeColor="text1"/>
          <w:sz w:val="32"/>
          <w:szCs w:val="32"/>
          <w:u w:val="none"/>
          <w:lang w:val="en-US" w:eastAsia="zh-CN"/>
          <w14:textFill>
            <w14:solidFill>
              <w14:schemeClr w14:val="tx1"/>
            </w14:solidFill>
          </w14:textFill>
        </w:rPr>
        <w:t>实施分层分类社会救助，“钢暖心”社会救助品牌获评2025年度全省社会救助品牌。</w:t>
      </w:r>
    </w:p>
    <w:p w14:paraId="1BD5D7C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公共服务优质均衡。与山东大学基础教育集团开展合作办学，以艾山学校为合作核心校，通过师资培训、课程共建、管理输出等方式，推动区域教育教学水平整体提升。</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莱芜四中完成改造，艾山学校投入使用，撤并中小学校4所。新建托幼一体化幼</w:t>
      </w:r>
      <w:r>
        <w:rPr>
          <w:rFonts w:hint="eastAsia" w:ascii="宋体" w:hAnsi="宋体" w:eastAsia="仿宋_GB2312" w:cs="Times New Roman"/>
          <w:b/>
          <w:color w:val="000000" w:themeColor="text1"/>
          <w:spacing w:val="-6"/>
          <w:sz w:val="32"/>
          <w:szCs w:val="32"/>
          <w:u w:val="none"/>
          <w:lang w:val="en-US" w:eastAsia="zh-CN"/>
          <w14:textFill>
            <w14:solidFill>
              <w14:schemeClr w14:val="tx1"/>
            </w14:solidFill>
          </w14:textFill>
        </w:rPr>
        <w:t>儿园5处，新增普惠性托位100个。创建为全国义务教育优质均</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衡发展区、国家学前教育普及普惠区。医疗服务体系不断完善，</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区中医医院二期、区公共卫生中心等项目加快推进，</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建成</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里辛街道社区卫生服务中心，改造提升</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9</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0处村卫生室</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。文化惠民工程深入实施，新建泉城书房等公共阅读空间6处，开展惠民活动1300余场次。</w:t>
      </w:r>
      <w:r>
        <w:rPr>
          <w:rFonts w:hint="eastAsia" w:ascii="宋体" w:hAnsi="宋体" w:eastAsia="仿宋_GB2312"/>
          <w:b/>
          <w:color w:val="000000" w:themeColor="text1"/>
          <w:sz w:val="32"/>
          <w:szCs w:val="32"/>
          <w:u w:val="none"/>
          <w:lang w:val="en-US" w:eastAsia="zh-CN"/>
          <w14:textFill>
            <w14:solidFill>
              <w14:schemeClr w14:val="tx1"/>
            </w14:solidFill>
          </w14:textFill>
        </w:rPr>
        <w:t>首创全国县域村居全覆</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盖拔河赛，赛事获得中宣部和农业农村部肯定，里辛村拔河队分别夺得省、市美丽乡村拔河赛事总冠军，“村拔”擂台赛逐步成为钢城的“新民俗”。蟠龙梆</w:t>
      </w:r>
      <w:r>
        <w:rPr>
          <w:rFonts w:hint="eastAsia" w:ascii="宋体" w:hAnsi="宋体" w:eastAsia="仿宋_GB2312"/>
          <w:b/>
          <w:color w:val="000000" w:themeColor="text1"/>
          <w:sz w:val="32"/>
          <w:szCs w:val="32"/>
          <w:u w:val="none"/>
          <w:lang w:val="en-US" w:eastAsia="zh-CN"/>
          <w14:textFill>
            <w14:solidFill>
              <w14:schemeClr w14:val="tx1"/>
            </w14:solidFill>
          </w14:textFill>
        </w:rPr>
        <w:t>子非遗数字化“两创”项目入选全省文化创新创造优秀案例。</w:t>
      </w:r>
    </w:p>
    <w:p w14:paraId="1A4D6A6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b/>
          <w:color w:val="000000" w:themeColor="text1"/>
          <w:sz w:val="32"/>
          <w:szCs w:val="32"/>
          <w:u w:val="none"/>
          <w:lang w:val="en-US" w:eastAsia="zh-CN"/>
          <w14:textFill>
            <w14:solidFill>
              <w14:schemeClr w14:val="tx1"/>
            </w14:solidFill>
          </w14:textFill>
        </w:rPr>
        <w:t>（七）守牢守稳发展底线，社会大局和谐稳定</w:t>
      </w:r>
    </w:p>
    <w:p w14:paraId="468D98D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安全生产形势平稳向好。深入推进安全生产治本攻坚三年行动，聚焦工贸、消防、建筑施工等重点领域，开展常态化、“进驻式”风险隐患排查整治，安全发展基础不断巩固。扎实做好森林防火、防汛抗旱、食品药品安全等工作，健全应急管理体制和应急指挥机制，提升防灾减灾救灾能力。</w:t>
      </w:r>
    </w:p>
    <w:p w14:paraId="102A9644">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生态环境质量持续改善。全力抓好中央和省生态环保督察反馈问题整改，统筹推进工业污染源、工地裸土、道路扬尘综合治理，实施雨污分流、河道排污口排查整治，</w:t>
      </w:r>
      <w:r>
        <w:rPr>
          <w:rFonts w:hint="default" w:ascii="新宋体" w:hAnsi="新宋体" w:eastAsia="新宋体" w:cs="新宋体"/>
          <w:b/>
          <w:color w:val="000000" w:themeColor="text1"/>
          <w:kern w:val="2"/>
          <w:sz w:val="32"/>
          <w:szCs w:val="32"/>
          <w:u w:val="none"/>
          <w:lang w:val="en-US" w:eastAsia="zh-CN" w:bidi="ar-SA"/>
          <w14:textFill>
            <w14:solidFill>
              <w14:schemeClr w14:val="tx1"/>
            </w14:solidFill>
          </w14:textFill>
        </w:rPr>
        <w:t>PM</w:t>
      </w:r>
      <w:r>
        <w:rPr>
          <w:rFonts w:hint="default" w:ascii="Times New Roman" w:hAnsi="Times New Roman" w:cs="Times New Roman"/>
          <w:b/>
          <w:bCs w:val="0"/>
          <w:u w:val="none"/>
          <w:vertAlign w:val="subscript"/>
        </w:rPr>
        <w:t>2.5</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平均</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浓度</w:t>
      </w:r>
      <w:r>
        <w:rPr>
          <w:rFonts w:hint="default" w:ascii="Times New Roman" w:hAnsi="Times New Roman" w:eastAsia="仿宋_GB2312" w:cs="Times New Roman"/>
          <w:b/>
          <w:bCs w:val="0"/>
          <w:color w:val="000000" w:themeColor="text1"/>
          <w:sz w:val="32"/>
          <w:szCs w:val="32"/>
          <w:u w:val="none"/>
          <w:lang w:val="en-US" w:eastAsia="zh-CN"/>
          <w14:textFill>
            <w14:solidFill>
              <w14:schemeClr w14:val="tx1"/>
            </w14:solidFill>
          </w14:textFill>
        </w:rPr>
        <w:t>同比改善</w:t>
      </w:r>
      <w:r>
        <w:rPr>
          <w:rFonts w:hint="default" w:ascii="新宋体" w:hAnsi="新宋体" w:eastAsia="新宋体" w:cs="新宋体"/>
          <w:b/>
          <w:color w:val="000000" w:themeColor="text1"/>
          <w:kern w:val="2"/>
          <w:sz w:val="32"/>
          <w:szCs w:val="32"/>
          <w:u w:val="none"/>
          <w:lang w:val="en-US" w:eastAsia="zh-CN" w:bidi="ar-SA"/>
          <w14:textFill>
            <w14:solidFill>
              <w14:schemeClr w14:val="tx1"/>
            </w14:solidFill>
          </w14:textFill>
        </w:rPr>
        <w:t>7.9%</w:t>
      </w:r>
      <w:r>
        <w:rPr>
          <w:rFonts w:hint="default" w:ascii="Times New Roman" w:hAnsi="Times New Roman" w:eastAsia="仿宋_GB2312" w:cs="Times New Roman"/>
          <w:b/>
          <w:bCs w:val="0"/>
          <w:color w:val="000000" w:themeColor="text1"/>
          <w:sz w:val="32"/>
          <w:szCs w:val="32"/>
          <w:u w:val="none"/>
          <w:lang w:val="en-US" w:eastAsia="zh-CN"/>
          <w14:textFill>
            <w14:solidFill>
              <w14:schemeClr w14:val="tx1"/>
            </w14:solidFill>
          </w14:textFill>
        </w:rPr>
        <w:t>，达到国家空气质量二级标准</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，空气质量综合指数、省控以上断面水质指数排名实现较大提升。持续推进生态修复与绿化提升，实施森林抚育4000亩，完成矿山生态修复509亩，治理水土流失面积23平方公里，全区水土保持率提高至75%。</w:t>
      </w:r>
    </w:p>
    <w:p w14:paraId="20F6252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社会治理效能有效提升。深化创业、新兴等活力社区建设，健全“社区+志愿服务”运行机制，引导新业态新就业群体融入基层治理，激活社区多元共治活力。扎实推进信访工作法治化，信访事项及时受理率、按期办结率保持100%。防范化解非法融资、电信诈骗等领域风险，牢牢守住不发生系统性风险底线。常态化开展扫黑除恶</w:t>
      </w:r>
      <w:r>
        <w:rPr>
          <w:rFonts w:hint="eastAsia" w:cs="Times New Roman"/>
          <w:b/>
          <w:color w:val="000000" w:themeColor="text1"/>
          <w:sz w:val="32"/>
          <w:szCs w:val="32"/>
          <w:u w:val="none"/>
          <w:lang w:val="en-US" w:eastAsia="zh-CN"/>
          <w14:textFill>
            <w14:solidFill>
              <w14:schemeClr w14:val="tx1"/>
            </w14:solidFill>
          </w14:textFill>
        </w:rPr>
        <w:t>专项</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斗争，深化“黄河安澜·生态警务”。获评平安济南建设工作表现突出区。</w:t>
      </w:r>
    </w:p>
    <w:p w14:paraId="08336CB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国防动员、</w:t>
      </w:r>
      <w:r>
        <w:rPr>
          <w:rFonts w:hint="eastAsia" w:cs="Times New Roman"/>
          <w:b/>
          <w:color w:val="000000" w:themeColor="text1"/>
          <w:sz w:val="32"/>
          <w:szCs w:val="32"/>
          <w:u w:val="none"/>
          <w:lang w:val="en-US" w:eastAsia="zh-CN"/>
          <w14:textFill>
            <w14:solidFill>
              <w14:schemeClr w14:val="tx1"/>
            </w14:solidFill>
          </w14:textFill>
        </w:rPr>
        <w:t>双拥共建、</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退役军人</w:t>
      </w:r>
      <w:r>
        <w:rPr>
          <w:rFonts w:hint="eastAsia" w:cs="Times New Roman"/>
          <w:b/>
          <w:color w:val="000000" w:themeColor="text1"/>
          <w:sz w:val="32"/>
          <w:szCs w:val="32"/>
          <w:u w:val="none"/>
          <w:lang w:val="en-US" w:eastAsia="zh-CN"/>
          <w14:textFill>
            <w14:solidFill>
              <w14:schemeClr w14:val="tx1"/>
            </w14:solidFill>
          </w14:textFill>
        </w:rPr>
        <w:t>服务保障</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等工作扎实推进，审计、统计、档案、供销等工作不断加强，外事、关心下一代、慈善、科协等工作取得新进步。积极支持工青妇、侨联、残联、工商联、</w:t>
      </w:r>
      <w:r>
        <w:rPr>
          <w:rFonts w:hint="eastAsia" w:cs="Times New Roman"/>
          <w:b/>
          <w:color w:val="000000" w:themeColor="text1"/>
          <w:sz w:val="32"/>
          <w:szCs w:val="32"/>
          <w:u w:val="none"/>
          <w:lang w:val="en-US" w:eastAsia="zh-CN"/>
          <w14:textFill>
            <w14:solidFill>
              <w14:schemeClr w14:val="tx1"/>
            </w14:solidFill>
          </w14:textFill>
        </w:rPr>
        <w:t>计生协会、</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红十字会等群团组织充分发挥作用。</w:t>
      </w:r>
    </w:p>
    <w:p w14:paraId="2BDEE712">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（八）自身建设不断加强，行政效能持续提高</w:t>
      </w:r>
    </w:p>
    <w:p w14:paraId="6395433C">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14:textFill>
            <w14:solidFill>
              <w14:schemeClr w14:val="tx1"/>
            </w14:solidFill>
          </w14:textFill>
        </w:rPr>
      </w:pPr>
      <w:r>
        <w:rPr>
          <w:rFonts w:hint="eastAsia" w:ascii="宋体" w:hAnsi="宋体" w:eastAsia="仿宋_GB2312"/>
          <w:b/>
          <w:color w:val="000000" w:themeColor="text1"/>
          <w:sz w:val="32"/>
          <w:szCs w:val="32"/>
          <w:u w:val="none"/>
          <w:lang w:eastAsia="zh-CN"/>
          <w14:textFill>
            <w14:solidFill>
              <w14:schemeClr w14:val="tx1"/>
            </w14:solidFill>
          </w14:textFill>
        </w:rPr>
        <w:t>深入贯彻党的二十大和二十届历次全会精神，坚定拥护“两个确立”、坚决做到“两个维护”。严格落实“第一议题”制度和意识形态工作责任制。</w:t>
      </w:r>
      <w:r>
        <w:rPr>
          <w:rFonts w:hint="eastAsia" w:ascii="宋体" w:hAnsi="宋体" w:eastAsia="仿宋_GB2312" w:cs="Times New Roman"/>
          <w:b/>
          <w:color w:val="000000" w:themeColor="text1"/>
          <w:sz w:val="32"/>
          <w:szCs w:val="32"/>
          <w:u w:val="none"/>
          <w:lang w:eastAsia="zh-CN"/>
          <w14:textFill>
            <w14:solidFill>
              <w14:schemeClr w14:val="tx1"/>
            </w14:solidFill>
          </w14:textFill>
        </w:rPr>
        <w:t>坚持依法行政，严格</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执行</w:t>
      </w:r>
      <w:r>
        <w:rPr>
          <w:rFonts w:hint="eastAsia" w:ascii="宋体" w:hAnsi="宋体" w:eastAsia="仿宋_GB2312" w:cs="Times New Roman"/>
          <w:b/>
          <w:color w:val="000000" w:themeColor="text1"/>
          <w:sz w:val="32"/>
          <w:szCs w:val="32"/>
          <w:u w:val="none"/>
          <w:lang w:eastAsia="zh-CN"/>
          <w14:textFill>
            <w14:solidFill>
              <w14:schemeClr w14:val="tx1"/>
            </w14:solidFill>
          </w14:textFill>
        </w:rPr>
        <w:t>区政府工作规则，新制定完善制度规范268项，</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公</w:t>
      </w:r>
      <w:r>
        <w:rPr>
          <w:rFonts w:hint="eastAsia" w:ascii="宋体" w:hAnsi="宋体" w:eastAsia="仿宋_GB2312"/>
          <w:b/>
          <w:color w:val="000000" w:themeColor="text1"/>
          <w:sz w:val="32"/>
          <w:szCs w:val="32"/>
          <w:u w:val="none"/>
          <w:lang w:val="en-US" w:eastAsia="zh-CN"/>
          <w14:textFill>
            <w14:solidFill>
              <w14:schemeClr w14:val="tx1"/>
            </w14:solidFill>
          </w14:textFill>
        </w:rPr>
        <w:t>开政府信息4831条，行政行为更加规范高效。自觉接受人大法律监督、工作监督和政协民主监督，更好发挥司法监督、审计监督、统计监督职能作用，办理人大建议、政协提案各143件。</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12345市民服务热线受理工单数量下降7.3%，群众综合满意率、诉求解决率分别排名全市第1、第2位。</w:t>
      </w:r>
      <w:r>
        <w:rPr>
          <w:rFonts w:hint="eastAsia" w:ascii="宋体" w:hAnsi="宋体" w:eastAsia="仿宋_GB2312"/>
          <w:b/>
          <w:color w:val="000000" w:themeColor="text1"/>
          <w:sz w:val="32"/>
          <w:szCs w:val="32"/>
          <w:u w:val="none"/>
          <w:lang w:val="en-US" w:eastAsia="zh-CN"/>
          <w14:textFill>
            <w14:solidFill>
              <w14:schemeClr w14:val="tx1"/>
            </w14:solidFill>
          </w14:textFill>
        </w:rPr>
        <w:t>坚持政府过紧日子，从严从紧控制一般性支出，着力压减非刚性、非重点“三公”经费支出，区直部门公用经费定额标</w:t>
      </w:r>
      <w:r>
        <w:rPr>
          <w:rFonts w:hint="eastAsia" w:ascii="宋体" w:hAnsi="宋体" w:eastAsia="仿宋_GB2312"/>
          <w:b/>
          <w:color w:val="000000" w:themeColor="text1"/>
          <w:spacing w:val="6"/>
          <w:sz w:val="32"/>
          <w:szCs w:val="32"/>
          <w:u w:val="none"/>
          <w:lang w:val="en-US" w:eastAsia="zh-CN"/>
          <w14:textFill>
            <w14:solidFill>
              <w14:schemeClr w14:val="tx1"/>
            </w14:solidFill>
          </w14:textFill>
        </w:rPr>
        <w:t>准继续压减20%以上。健全政府债务管理长效机制，有效管控债</w:t>
      </w:r>
      <w:r>
        <w:rPr>
          <w:rFonts w:hint="eastAsia" w:ascii="宋体" w:hAnsi="宋体" w:eastAsia="仿宋_GB2312"/>
          <w:b/>
          <w:color w:val="000000" w:themeColor="text1"/>
          <w:sz w:val="32"/>
          <w:szCs w:val="32"/>
          <w:u w:val="none"/>
          <w:lang w:val="en-US" w:eastAsia="zh-CN"/>
          <w14:textFill>
            <w14:solidFill>
              <w14:schemeClr w14:val="tx1"/>
            </w14:solidFill>
          </w14:textFill>
        </w:rPr>
        <w:t>务风险。扎实开展深入贯彻中央八项规定精神学习教育，深化群众身边不正之风和腐败问题集中整治，政府系统党风廉政建设和反腐败工作向纵深推进。</w:t>
      </w:r>
    </w:p>
    <w:p w14:paraId="2CA03F9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各位代表，艰难困苦，玉汝于成。“十四五”时期是钢城发展进程中极其不易、极具挑战的五年，也是攻坚克难、极不平凡的五年。面对复杂多变的外部环境、艰巨繁重的改革发展稳定任务，全区上下迎难而上、锐意进取，凝心聚力、实干笃行，经受住世纪疫情严重冲击，有效应对一系列风险挑战，全方位推动高质量发展迈出坚实步伐。</w:t>
      </w:r>
    </w:p>
    <w:p w14:paraId="6A3EDD87">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五年来，我们坚持稳中求进、提质增效，综合实力在攻坚克难中稳步提升。</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坚持稳中求进工作总基调，全力应对经济下行压力，地区生产总值年均增长3.2%，人均生产总值达到12.77万元、较“十三五”末增加2.31万元、提高22%。固定资产投资、社会消费品零售总额、居民人均可支配收入年均分别增长3.3%、4.1%、5.6%，经济运行保持在合理区间。获得国家级荣誉、改革试点、典型案例等40多项，区域竞争力和影响力得到新提升。</w:t>
      </w:r>
    </w:p>
    <w:p w14:paraId="1C3C56E9">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五年来，我们坚持工业强区、延链补链，产业体系在转型升级中加速优化。</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坚定不移实施工业强区战略，全力打造“3+2”主导产业链条，规上工业企业、产值过亿元企业数量分别是“十三五”末的1.7倍、1.5倍，制造业单项冠军、瞪羚企业等品牌企业数量是“十三五”末的2.3倍。精密锻件产业集群成为国家级中小企业特色产业集群，获评省级中小企业特色产业集群2个。现代服务业攻坚行动成效显著，填补法律服务、水资源治理、教育培训、检验检测等6个空白行业，服务业增加值占地区生产总值比重提高12.9个百分点。产业结构更加合理，三次产业比由2020年的3.5:66.0:30.5调整为3.7:52.9:43.4。</w:t>
      </w:r>
    </w:p>
    <w:p w14:paraId="7977EE16">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五年来，我们坚持项目为先、精准招引，发展动能在集约集聚中持续壮大。</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始终把项目建设作为经济发展的“生命线”，实行项目全生命周期服务管理，入选省、市重点项目103个，累计实施各级重点项目570个、完成投资690.2亿元，较“十三五”时期分别增长11.8%、8.3%，2022年以来工业投资、制造业投资综合评估分别排名全市第4、第3位。强化产业链招商，招引落地鲁欣粉磁新材料等项目451个。加大对上争取，获批地方政府专项债券等政策性资金31.7亿元，较“十三五”时期增长319.3%，有效保障基础设施、民生事业和产业转型升级项目资金需求。</w:t>
      </w:r>
    </w:p>
    <w:p w14:paraId="65A29AC4">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singl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五年来，我们坚持改革破题、创新驱动，市场活力在环境优化中有效激发。</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扎实推进重点领域和关键环节改革，行政效能不断提升。深化“高效办成一件事”改革，37个部门1412个事项进驻区政务服务大厅，351项事项实现委托归口办理，61个“一件事”事项落地运行。创新能力持续提升，高新技术企业、科技型中小企业数量分别是“十三五”末的2.8倍、4.2倍，全社会研发经费投入占比稳定在4%左右。新增市场主体1.71万户，总量超过3万户，年均增长25%。钢城经济开发区载体功能提升，产业布局持续优化，获评省绿色低碳高质量发展先行区建设试点产业园区、省级绿色工业园区、省“万兆+人工智能（AI）”试点园区。</w:t>
      </w:r>
    </w:p>
    <w:p w14:paraId="19843C55">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五年来，我们坚持精建细管、提升品质，城乡面貌在融合发展中焕然一新。</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济莱高铁开通运行，济莱间高速公路对济南籍小客车点对点免费通行，开通直达济南市区的区际公交车</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，交通</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同城化更加深入</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实施艾山片区城市更新和南部新城片区城中村改造，新改建新兴路等城市道路47.5公里，建成栾家岭等公园游园17个，完成65个小区供暖、55个小区供水、30个小区供电改造和31个老旧小区改造提升，城区主次干道机械化保洁率达到100%，城市功能与品质显著提升。乡村振兴片区化建设实现街道全覆盖，打造省级和美乡村24个、乡村振兴齐鲁样板村12个。新改建农村公路143公里、大中修350公里、安防工程256公里，实现农村通户道路硬化、规模化供水、污水处理“三个全覆盖”。获评全国节水型社会建设达标区、全省“四好农村路”示范区。</w:t>
      </w:r>
    </w:p>
    <w:p w14:paraId="3BB0C316">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singl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五年来，我们坚持生态优先、绿色发展，生态底色在保护治理中更加靓丽。</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一体推进治山、治水、治气，获评全省深入打好污染防治攻坚战先进县。坚决打好蓝天保卫战，完成焦化、水泥行业超低排放改造，精品钢产业全流程达到环保绩效A级标准，全区主要污染物排放量较“十三五”末下降20.8%，空气质量综合指数较“十三五”末改善21.5%。深入实施碧水工程，完成大汶河干流及10条支流综合治理和6个城市内涝点治理，提升改造雨污合流管网39.6公里，治理水土流失面积78.67平方公里，水环境质量排名全省前列。万元GDP综合能耗年均下降10%左右。获评全省工业资源综</w:t>
      </w:r>
      <w:r>
        <w:rPr>
          <w:rFonts w:hint="eastAsia" w:ascii="宋体" w:hAnsi="宋体" w:eastAsia="仿宋_GB2312" w:cs="Times New Roman"/>
          <w:b/>
          <w:strike w:val="0"/>
          <w:dstrike w:val="0"/>
          <w:color w:val="000000" w:themeColor="text1"/>
          <w:sz w:val="32"/>
          <w:szCs w:val="32"/>
          <w:u w:val="none"/>
          <w:lang w:val="en-US" w:eastAsia="zh-CN"/>
          <w14:textFill>
            <w14:solidFill>
              <w14:schemeClr w14:val="tx1"/>
            </w14:solidFill>
          </w14:textFill>
        </w:rPr>
        <w:t>合利用试点基地。</w:t>
      </w:r>
    </w:p>
    <w:p w14:paraId="22AADCB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五年来，我们坚持以人为本、民生优先，民生福祉在共建共享中不断增进。</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始终把保障和改善民生作为工作的出发点和落脚点，财政民生支出占比稳定在80%左右。在全省率先实现农村幸福食堂（幸福院）全覆盖，入选全省养老服务领域创新典型案例。创建为全国义务教育优质均衡发展区、国家学前教育普及普惠区、全国双拥模范城、省级健康促进区，12345市民服务热线办理连续</w:t>
      </w:r>
      <w:r>
        <w:rPr>
          <w:rFonts w:hint="eastAsia" w:cs="Times New Roman"/>
          <w:b/>
          <w:color w:val="000000" w:themeColor="text1"/>
          <w:sz w:val="32"/>
          <w:szCs w:val="32"/>
          <w:u w:val="none"/>
          <w:lang w:val="en-US" w:eastAsia="zh-CN"/>
          <w14:textFill>
            <w14:solidFill>
              <w14:schemeClr w14:val="tx1"/>
            </w14:solidFill>
          </w14:textFill>
        </w:rPr>
        <w:t>四</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年排名全市第1位。在全市率先实现四级应急专线互联互通和“四站合一”全覆盖，连续三年获评全国信访工作示范区，连续13年现行命案全破，群众安满度测评排名全市前列。</w:t>
      </w:r>
    </w:p>
    <w:p w14:paraId="51F797F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各位代表，过去五年成绩的取得，</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得益于</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市委、市政府和区委</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的坚强</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领导</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、科学决策</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离不开</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区人大、区政协</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的有效</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监督</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、鼎力</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支持，凝</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结</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着全区</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人民的艰辛付出、智慧力量</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。在此，我代</w:t>
      </w:r>
      <w:r>
        <w:rPr>
          <w:rFonts w:hint="default" w:ascii="宋体" w:hAnsi="宋体" w:eastAsia="仿宋_GB2312" w:cs="Times New Roman"/>
          <w:b/>
          <w:color w:val="000000" w:themeColor="text1"/>
          <w:spacing w:val="-6"/>
          <w:sz w:val="32"/>
          <w:szCs w:val="32"/>
          <w:u w:val="none"/>
          <w:lang w:val="en-US" w:eastAsia="zh-CN"/>
          <w14:textFill>
            <w14:solidFill>
              <w14:schemeClr w14:val="tx1"/>
            </w14:solidFill>
          </w14:textFill>
        </w:rPr>
        <w:t>表区人民政府，向全区广大干部群众，向人大代表、政协委员、</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各民主党派、工商联、无党派人士、人民团体和离退休干部，向所有关心支持钢城发展的各界朋友，表示衷心感谢</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，致以崇高敬意</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p>
    <w:p w14:paraId="4BA37EC2">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同时，我们也清醒认识到，我区经济社会发展还存在不少</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短板和不足</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一是受钢铁产量压减冲击较大。</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“十四五”期间</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政策性</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压减</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粗钢产量</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310.8万吨、</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下降</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24.8%，对我区GDP核算、工业、批发业</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、财政收入</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等指标造成了极大冲击</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，预计今年将持续压减</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二是产业转型仍需加快</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主导产业链条不长、关联性不足、数字化转型不快，新兴产业规模相对偏小，科技创新与产业创新深度融合不够，新质生产力培育不足。消费场景、消费业态不够丰富，科技服务、设计咨询等知识密集型服务业态培育不快。</w:t>
      </w: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三是民生领域仍有短板</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。高品质公共服务产品还不充足，城市功能品质和管理水平还有待提升，优质教育、医疗、养老、托育等服务供给与群众期盼仍存在差距，生态环境建设仍有较大提升空间。</w:t>
      </w: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四是风险防控压力较大</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。部分领域本质安全水平不高，公共安全、防灾减灾等领域风险隐患仍然较多，财政“三保”、政府债务化解压力较大。</w:t>
      </w: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五是自身建设还需加强</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。政府职能转变还不够到位，服务意识和管理效能仍需进一步提高；有的政府工作人员作风不硬，</w:t>
      </w:r>
      <w:r>
        <w:rPr>
          <w:rFonts w:hint="eastAsia" w:cs="Times New Roman"/>
          <w:b/>
          <w:color w:val="000000" w:themeColor="text1"/>
          <w:sz w:val="32"/>
          <w:szCs w:val="32"/>
          <w:u w:val="none"/>
          <w:lang w:val="en-US" w:eastAsia="zh-CN"/>
          <w14:textFill>
            <w14:solidFill>
              <w14:schemeClr w14:val="tx1"/>
            </w14:solidFill>
          </w14:textFill>
        </w:rPr>
        <w:t>专业能力、</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担当意识和创新精神仍有差距。对此，我们将高度重视，采取有力有效措施，加快推动解决。</w:t>
      </w:r>
    </w:p>
    <w:p w14:paraId="009E50A2">
      <w:pPr>
        <w:keepNext w:val="0"/>
        <w:keepLines w:val="0"/>
        <w:pageBreakBefore w:val="0"/>
        <w:widowControl w:val="0"/>
        <w:kinsoku/>
        <w:wordWrap/>
        <w:topLinePunct w:val="0"/>
        <w:autoSpaceDE/>
        <w:autoSpaceDN/>
        <w:bidi w:val="0"/>
        <w:adjustRightInd w:val="0"/>
        <w:snapToGrid w:val="0"/>
        <w:spacing w:line="616" w:lineRule="exact"/>
        <w:ind w:left="0" w:leftChars="0" w:firstLine="632" w:firstLineChars="200"/>
        <w:jc w:val="both"/>
        <w:textAlignment w:val="auto"/>
        <w:rPr>
          <w:rFonts w:ascii="宋体" w:hAnsi="宋体"/>
          <w:b/>
          <w:bCs/>
          <w:u w:val="none"/>
        </w:rPr>
      </w:pPr>
      <w:r>
        <w:rPr>
          <w:rFonts w:ascii="宋体" w:hAnsi="宋体" w:eastAsia="黑体"/>
          <w:b/>
          <w:bCs/>
          <w:color w:val="000000"/>
          <w:kern w:val="0"/>
          <w:sz w:val="32"/>
          <w:szCs w:val="32"/>
          <w:u w:val="none"/>
        </w:rPr>
        <w:t>二、“十</w:t>
      </w:r>
      <w:r>
        <w:rPr>
          <w:rFonts w:hint="eastAsia" w:ascii="宋体" w:hAnsi="宋体" w:eastAsia="黑体"/>
          <w:b/>
          <w:bCs/>
          <w:color w:val="000000"/>
          <w:kern w:val="0"/>
          <w:sz w:val="32"/>
          <w:szCs w:val="32"/>
          <w:u w:val="none"/>
          <w:lang w:val="en-US" w:eastAsia="zh-CN"/>
        </w:rPr>
        <w:t>五</w:t>
      </w:r>
      <w:r>
        <w:rPr>
          <w:rFonts w:ascii="宋体" w:hAnsi="宋体" w:eastAsia="黑体"/>
          <w:b/>
          <w:bCs/>
          <w:color w:val="000000"/>
          <w:kern w:val="0"/>
          <w:sz w:val="32"/>
          <w:szCs w:val="32"/>
          <w:u w:val="none"/>
        </w:rPr>
        <w:t>五”时期目标任务</w:t>
      </w:r>
    </w:p>
    <w:p w14:paraId="6F62EB0E">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十五五”时期是基本实现社会主义现代化夯实基础、全面发力的关键时期，是加快建设现代化高品质美丽钢城的关键五年。根据《中共钢城区委关于制定国民经济和社会发展第十五个五年规划的建议》，区政府编制了《钢城区国民经济和社会发展第十五个五年规划纲要（草案）》，细化量化“十五五”时期经济社会发展主要目标和重大任务，提请大会审议。</w:t>
      </w:r>
    </w:p>
    <w:p w14:paraId="5B39093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黑体" w:cs="Times New Roman"/>
          <w:b/>
          <w:bCs/>
          <w:color w:val="auto"/>
          <w:sz w:val="32"/>
          <w:szCs w:val="32"/>
          <w:highlight w:val="none"/>
          <w:u w:val="none"/>
          <w:lang w:val="en-US" w:eastAsia="zh-CN"/>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“十五五”时期</w:t>
      </w:r>
      <w:r>
        <w:rPr>
          <w:rFonts w:hint="eastAsia" w:ascii="宋体" w:hAnsi="宋体" w:eastAsia="仿宋_GB2312" w:cs="Times New Roman"/>
          <w:b/>
          <w:bCs/>
          <w:color w:val="auto"/>
          <w:sz w:val="32"/>
          <w:szCs w:val="32"/>
          <w:highlight w:val="none"/>
          <w:u w:val="none"/>
          <w:lang w:val="en-US" w:eastAsia="zh-CN"/>
        </w:rPr>
        <w:t>政府工</w:t>
      </w:r>
      <w:r>
        <w:rPr>
          <w:rFonts w:hint="default" w:ascii="宋体" w:hAnsi="宋体" w:eastAsia="仿宋_GB2312" w:cs="Times New Roman"/>
          <w:b/>
          <w:bCs/>
          <w:color w:val="auto"/>
          <w:sz w:val="32"/>
          <w:szCs w:val="32"/>
          <w:highlight w:val="none"/>
          <w:u w:val="none"/>
          <w:lang w:val="en-US" w:eastAsia="zh-CN"/>
        </w:rPr>
        <w:t>作总的要求是：</w:t>
      </w:r>
      <w:r>
        <w:rPr>
          <w:rFonts w:hint="default" w:ascii="宋体" w:hAnsi="宋体" w:eastAsia="黑体" w:cs="Times New Roman"/>
          <w:b/>
          <w:bCs/>
          <w:color w:val="auto"/>
          <w:sz w:val="32"/>
          <w:szCs w:val="32"/>
          <w:highlight w:val="none"/>
          <w:u w:val="none"/>
          <w:lang w:val="en-US" w:eastAsia="zh-CN"/>
        </w:rPr>
        <w:t>坚持以习近平新时代中国特色社会主义思想为指导，深入贯彻党的二十大和二十届历</w:t>
      </w:r>
      <w:r>
        <w:rPr>
          <w:rFonts w:hint="default" w:ascii="宋体" w:hAnsi="宋体" w:eastAsia="黑体" w:cs="Times New Roman"/>
          <w:b/>
          <w:bCs/>
          <w:color w:val="auto"/>
          <w:spacing w:val="-6"/>
          <w:sz w:val="32"/>
          <w:szCs w:val="32"/>
          <w:highlight w:val="none"/>
          <w:u w:val="none"/>
          <w:lang w:val="en-US" w:eastAsia="zh-CN"/>
        </w:rPr>
        <w:t>次全会精神，坚持以推动高质量发展为主题，</w:t>
      </w:r>
      <w:r>
        <w:rPr>
          <w:rFonts w:hint="eastAsia" w:ascii="宋体" w:hAnsi="宋体" w:eastAsia="黑体" w:cs="Times New Roman"/>
          <w:b/>
          <w:bCs/>
          <w:color w:val="auto"/>
          <w:spacing w:val="-6"/>
          <w:sz w:val="32"/>
          <w:szCs w:val="32"/>
          <w:highlight w:val="none"/>
          <w:u w:val="none"/>
          <w:lang w:val="en-US" w:eastAsia="zh-CN"/>
        </w:rPr>
        <w:t>在区委的坚强领导下，</w:t>
      </w:r>
      <w:r>
        <w:rPr>
          <w:rFonts w:hint="default" w:ascii="宋体" w:hAnsi="宋体" w:eastAsia="黑体" w:cs="Times New Roman"/>
          <w:b/>
          <w:bCs/>
          <w:color w:val="auto"/>
          <w:sz w:val="32"/>
          <w:szCs w:val="32"/>
          <w:highlight w:val="none"/>
          <w:u w:val="none"/>
          <w:lang w:val="en-US" w:eastAsia="zh-CN"/>
        </w:rPr>
        <w:t>坚持稳中求进工作总基调，全力以赴强产业、抓项目、促发展、惠民生</w:t>
      </w:r>
      <w:r>
        <w:rPr>
          <w:rFonts w:hint="eastAsia" w:ascii="宋体" w:hAnsi="宋体" w:eastAsia="黑体" w:cs="Times New Roman"/>
          <w:b/>
          <w:bCs/>
          <w:color w:val="auto"/>
          <w:sz w:val="32"/>
          <w:szCs w:val="32"/>
          <w:highlight w:val="none"/>
          <w:u w:val="none"/>
          <w:lang w:val="en-US" w:eastAsia="zh-CN"/>
        </w:rPr>
        <w:t>、防风险</w:t>
      </w:r>
      <w:r>
        <w:rPr>
          <w:rFonts w:hint="default" w:ascii="宋体" w:hAnsi="宋体" w:eastAsia="黑体" w:cs="Times New Roman"/>
          <w:b/>
          <w:bCs/>
          <w:color w:val="auto"/>
          <w:sz w:val="32"/>
          <w:szCs w:val="32"/>
          <w:highlight w:val="none"/>
          <w:u w:val="none"/>
          <w:lang w:val="en-US" w:eastAsia="zh-CN"/>
        </w:rPr>
        <w:t>，因地制宜发展新质生产力，充分激发有效需求，不断提高人民生活水平，保持社会和谐稳定，推动经济实现质的有效提升和量的合理增长，</w:t>
      </w:r>
      <w:r>
        <w:rPr>
          <w:rFonts w:hint="eastAsia" w:ascii="宋体" w:hAnsi="宋体" w:eastAsia="黑体" w:cs="Times New Roman"/>
          <w:b/>
          <w:bCs/>
          <w:color w:val="auto"/>
          <w:sz w:val="32"/>
          <w:szCs w:val="32"/>
          <w:highlight w:val="none"/>
          <w:u w:val="none"/>
          <w:lang w:val="en-US" w:eastAsia="zh-CN"/>
        </w:rPr>
        <w:t>努力打造济南副城高质量发展的增长极、辐射带动鲁中南地区的战略支点，加快建设现代化高品质美丽钢城。</w:t>
      </w:r>
    </w:p>
    <w:p w14:paraId="6F3B94F2">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未来五年的主要目标任务是：</w:t>
      </w:r>
    </w:p>
    <w:p w14:paraId="29AE1991">
      <w:pPr>
        <w:keepNext w:val="0"/>
        <w:keepLines w:val="0"/>
        <w:pageBreakBefore w:val="0"/>
        <w:widowControl w:val="0"/>
        <w:kinsoku/>
        <w:wordWrap/>
        <w:topLinePunct w:val="0"/>
        <w:autoSpaceDE/>
        <w:autoSpaceDN/>
        <w:bidi w:val="0"/>
        <w:snapToGrid w:val="0"/>
        <w:spacing w:line="616" w:lineRule="exact"/>
        <w:ind w:left="0" w:leftChars="0" w:firstLine="632" w:firstLineChars="200"/>
        <w:jc w:val="both"/>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（一）加快建设现代化产业体系，高质量发展实现新跃升。</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以新发展理念为引领的高质量发展体系进一步完善，全要素生产率稳步提升，经济保持平稳健康增长。深入实施工业强区战略，</w:t>
      </w:r>
      <w:r>
        <w:rPr>
          <w:rFonts w:hint="default" w:ascii="宋体" w:hAnsi="宋体" w:eastAsia="仿宋_GB2312" w:cs="宋体"/>
          <w:b/>
          <w:bCs/>
          <w:w w:val="100"/>
          <w:kern w:val="2"/>
          <w:sz w:val="32"/>
          <w:szCs w:val="32"/>
          <w:u w:val="none" w:color="auto"/>
          <w:lang w:val="en-US" w:eastAsia="zh-CN" w:bidi="ar-SA"/>
        </w:rPr>
        <w:t>“3</w:t>
      </w:r>
      <w:r>
        <w:rPr>
          <w:rFonts w:hint="eastAsia" w:ascii="宋体" w:hAnsi="宋体" w:eastAsia="宋体" w:cs="宋体"/>
          <w:b/>
          <w:bCs/>
          <w:w w:val="100"/>
          <w:kern w:val="2"/>
          <w:sz w:val="32"/>
          <w:szCs w:val="32"/>
          <w:u w:val="none" w:color="auto"/>
          <w:lang w:val="en-US" w:eastAsia="zh-CN" w:bidi="ar-SA"/>
        </w:rPr>
        <w:t>＋</w:t>
      </w:r>
      <w:r>
        <w:rPr>
          <w:rFonts w:hint="default" w:ascii="宋体" w:hAnsi="宋体" w:eastAsia="仿宋_GB2312" w:cs="宋体"/>
          <w:b/>
          <w:bCs/>
          <w:w w:val="100"/>
          <w:kern w:val="2"/>
          <w:sz w:val="32"/>
          <w:szCs w:val="32"/>
          <w:u w:val="none" w:color="auto"/>
          <w:lang w:val="en-US" w:eastAsia="zh-CN" w:bidi="ar-SA"/>
        </w:rPr>
        <w:t>2”主导产业持续壮大，</w:t>
      </w:r>
      <w:r>
        <w:rPr>
          <w:rFonts w:hint="eastAsia" w:ascii="宋体" w:hAnsi="宋体" w:eastAsia="仿宋_GB2312" w:cs="宋体"/>
          <w:b/>
          <w:bCs/>
          <w:w w:val="100"/>
          <w:kern w:val="2"/>
          <w:sz w:val="32"/>
          <w:szCs w:val="32"/>
          <w:u w:val="none" w:color="auto"/>
          <w:lang w:val="en-US" w:eastAsia="zh-CN" w:bidi="ar-SA"/>
        </w:rPr>
        <w:t>培育壮大</w:t>
      </w:r>
      <w:r>
        <w:rPr>
          <w:rFonts w:hint="eastAsia" w:ascii="宋体" w:hAnsi="宋体" w:eastAsia="仿宋_GB2312" w:cs="Times New Roman"/>
          <w:b/>
          <w:color w:val="000000" w:themeColor="text1"/>
          <w:sz w:val="32"/>
          <w:szCs w:val="32"/>
          <w:u w:val="none" w:color="auto"/>
          <w:lang w:val="en-US" w:eastAsia="zh-CN"/>
          <w14:textFill>
            <w14:solidFill>
              <w14:schemeClr w14:val="tx1"/>
            </w14:solidFill>
          </w14:textFill>
        </w:rPr>
        <w:t>循环经济、智能激光装备等新兴产业和基因编辑育种等未来产业，</w:t>
      </w:r>
      <w:r>
        <w:rPr>
          <w:rFonts w:hint="default" w:ascii="宋体" w:hAnsi="宋体" w:eastAsia="仿宋_GB2312" w:cs="宋体"/>
          <w:b/>
          <w:bCs/>
          <w:w w:val="100"/>
          <w:kern w:val="2"/>
          <w:sz w:val="32"/>
          <w:szCs w:val="32"/>
          <w:u w:val="none" w:color="auto"/>
          <w:lang w:val="en-US" w:eastAsia="zh-CN" w:bidi="ar-SA"/>
        </w:rPr>
        <w:t>新质生产力加快发展</w:t>
      </w:r>
      <w:r>
        <w:rPr>
          <w:rFonts w:hint="eastAsia" w:ascii="宋体" w:hAnsi="宋体" w:eastAsia="仿宋_GB2312" w:cs="宋体"/>
          <w:b/>
          <w:bCs/>
          <w:w w:val="100"/>
          <w:kern w:val="2"/>
          <w:sz w:val="32"/>
          <w:szCs w:val="32"/>
          <w:u w:val="none" w:color="auto"/>
          <w:lang w:val="en-US" w:eastAsia="zh-CN" w:bidi="ar-SA"/>
        </w:rPr>
        <w:t>。</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深入实施内需扩容增效工程，促进消费和投资、供给和需求良性互动。推动现代服务业与先进制造业、现代农业深度融合发展，建设具有钢城特色的现代化产业体系。</w:t>
      </w:r>
    </w:p>
    <w:p w14:paraId="5BD1BFA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（二）深入实施创新驱动发展战略，科技创新迈上新台阶</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科技创新和产业创新深度融合，全社会研发经费投入强度稳步提高，企业创新主体作用更加凸显，区科创中心、区产业研发中心、畜禽基因编辑中心、动物P3实验室等平台载体效能充分释放，着力打造鲁中地区创新创业高地和人才集聚高地。坚持“强产业、育主体、搭平台、促转化、聚要素、优环境”，持续优化创新创业生态，发展活力明显增强。</w:t>
      </w:r>
    </w:p>
    <w:p w14:paraId="1E21A894">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（三）持续深化城乡融合发展，城市功能品质得到新提高</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高质量开展城市更新行动和乡村振兴升级工程，统筹推进新型城镇化，畅通城乡要素流动，城乡空间、产业布局和资源配置更加科学合理，城市更加宜居宜业。乡村振兴扎实推进，示范片区覆盖村居有序扩大，农村基础设施更趋完善，人居环境持续改善，城乡融合发展格局不断优化。</w:t>
      </w:r>
    </w:p>
    <w:p w14:paraId="02A7953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（四）全面推进绿色低碳转型，生态文明建设达到新高度。</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坚持生态优先、绿色发展，协同推进降碳、减污、扩绿、增长，深入打好蓝天、碧水、净土保卫战，钢铁等重点行业和企业能效水平持续提高，大气、水、土壤环境质量持续改善，主要污染物排放总量持续减少，生态环境治理体系更加完善，“山水之中、绿色钢城”独特风貌愈发彰显。</w:t>
      </w:r>
    </w:p>
    <w:p w14:paraId="15FA9FB7">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（五）不断增进民生福祉，人民生活品质实现新提升。</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强普惠性、基础性、兜底性民生建设，高质量充分就业取得新进展，居民收入增长和经济增长同步、劳动报酬提高和劳动生产率提高同步，城乡居民收入差距持续缩小，社会保障制度更加优化、更可持续，公共服务更加均衡普惠、共享可及，全社会文明程度实现新提升，覆盖全生命周期的人口服务体系更加健全。</w:t>
      </w:r>
    </w:p>
    <w:p w14:paraId="1B600E4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（六）统筹发展和安全，城市治理开创新局面。</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深入贯彻总体国家安全观，筑牢重点领域安全防线，强化公共安全保障，创新完善社会治理体系，城市治理智慧化精细化水平显著提升，城市安全韧性持续增强，防范化解风险能力、自然灾害防御能力、社会治理和公共安全治理水平明显提高，建成更高水平平安钢城、法治钢城。</w:t>
      </w:r>
    </w:p>
    <w:p w14:paraId="4312587B">
      <w:pPr>
        <w:keepNext w:val="0"/>
        <w:keepLines w:val="0"/>
        <w:pageBreakBefore w:val="0"/>
        <w:widowControl w:val="0"/>
        <w:kinsoku/>
        <w:wordWrap/>
        <w:overflowPunct w:val="0"/>
        <w:topLinePunct w:val="0"/>
        <w:autoSpaceDE/>
        <w:autoSpaceDN/>
        <w:bidi w:val="0"/>
        <w:adjustRightInd w:val="0"/>
        <w:snapToGrid w:val="0"/>
        <w:spacing w:line="616" w:lineRule="exact"/>
        <w:ind w:left="0" w:leftChars="0" w:firstLine="632" w:firstLineChars="200"/>
        <w:jc w:val="both"/>
        <w:textAlignment w:val="auto"/>
        <w:rPr>
          <w:rFonts w:hint="default" w:ascii="宋体" w:hAnsi="宋体" w:eastAsia="仿宋_GB2312" w:cs="宋体"/>
          <w:b/>
          <w:bCs/>
          <w:w w:val="100"/>
          <w:sz w:val="32"/>
          <w:szCs w:val="22"/>
          <w:u w:val="none" w:color="auto"/>
          <w:lang w:val="en-US" w:eastAsia="zh-CN"/>
        </w:rPr>
      </w:pPr>
      <w:r>
        <w:rPr>
          <w:rFonts w:hint="default" w:ascii="宋体" w:hAnsi="宋体" w:eastAsia="仿宋_GB2312" w:cs="宋体"/>
          <w:b/>
          <w:bCs/>
          <w:w w:val="100"/>
          <w:sz w:val="32"/>
          <w:szCs w:val="22"/>
          <w:u w:val="none" w:color="auto"/>
          <w:lang w:val="en-US" w:eastAsia="zh-CN"/>
        </w:rPr>
        <w:t>在此基础上再奋斗五年，到二〇三五年实现我区经济实力、科技实力、综合竞争力和辐射带动力大幅跃升，人民生活更加幸福美好，基本建成现代化高品质美丽钢城。</w:t>
      </w:r>
    </w:p>
    <w:p w14:paraId="682F958B">
      <w:pPr>
        <w:keepNext w:val="0"/>
        <w:keepLines w:val="0"/>
        <w:pageBreakBefore w:val="0"/>
        <w:widowControl w:val="0"/>
        <w:kinsoku/>
        <w:wordWrap/>
        <w:topLinePunct w:val="0"/>
        <w:autoSpaceDE/>
        <w:autoSpaceDN/>
        <w:bidi w:val="0"/>
        <w:adjustRightInd w:val="0"/>
        <w:snapToGrid w:val="0"/>
        <w:spacing w:line="616" w:lineRule="exact"/>
        <w:ind w:left="0" w:leftChars="0" w:firstLine="632" w:firstLineChars="200"/>
        <w:jc w:val="both"/>
        <w:textAlignment w:val="auto"/>
        <w:rPr>
          <w:rFonts w:hint="default" w:ascii="宋体" w:hAnsi="宋体" w:eastAsia="黑体"/>
          <w:b/>
          <w:bCs/>
          <w:color w:val="000000"/>
          <w:kern w:val="0"/>
          <w:sz w:val="32"/>
          <w:szCs w:val="32"/>
          <w:u w:val="none"/>
          <w:lang w:val="en-US" w:eastAsia="zh-CN"/>
        </w:rPr>
      </w:pPr>
      <w:r>
        <w:rPr>
          <w:rFonts w:hint="eastAsia" w:ascii="宋体" w:hAnsi="宋体" w:eastAsia="黑体"/>
          <w:b/>
          <w:bCs/>
          <w:color w:val="000000"/>
          <w:kern w:val="0"/>
          <w:sz w:val="32"/>
          <w:szCs w:val="32"/>
          <w:u w:val="none"/>
          <w:lang w:val="en-US" w:eastAsia="zh-CN"/>
        </w:rPr>
        <w:t>三、2026年工作安排</w:t>
      </w:r>
    </w:p>
    <w:p w14:paraId="47D0A375">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综合各方面因素，建议今年经济社会发展的主要预期目标安排为：地区生产总值增长5%左右，一般公共预算收入增长3%左右，固定资产投资增长8%左右，规上工业增加值增长6%左右，社会消费品零售总额增长4%左右，居民人均可支配收入增长5.2%左右，全面完成市政府下达的节能减排降碳约束性指标和环境质量改善目标。</w:t>
      </w:r>
    </w:p>
    <w:p w14:paraId="6BB00E2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围绕实现上述目标，坚持以“项目赋能年”为总牵引，坚持稳中求进、提质增效，重点做好以下九个方面工作：</w:t>
      </w:r>
    </w:p>
    <w:p w14:paraId="29A608F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Times New Roman"/>
          <w:b/>
          <w:color w:val="000000" w:themeColor="text1"/>
          <w:sz w:val="32"/>
          <w:szCs w:val="32"/>
          <w:u w:val="none"/>
          <w:lang w:val="en-US" w:eastAsia="zh-CN"/>
          <w14:textFill>
            <w14:solidFill>
              <w14:schemeClr w14:val="tx1"/>
            </w14:solidFill>
          </w14:textFill>
        </w:rPr>
        <w:t>（一）加快转型升级，在建设现代化产业体系上持续加力</w:t>
      </w:r>
    </w:p>
    <w:p w14:paraId="167380CC">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推动主导产业转型升级。坚持智能化、绿色化、融合化方向，强化项目赋能主导产业，推动“3+2”主导产业延链补链。聚焦钢铁产业质效协同，服务保障宝武</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集团</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一体化支撑项目</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扎实推进山钢“双高棒”</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、宝武清能空气分离等</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项目</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建设，</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扩大海工用钢、风电能源用钢、齿轮钢等高</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端产品生产</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精品钢</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占比达到70%</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以上</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。以先进材料、新能源装备、精密铸锻与装备制造、绿色建</w:t>
      </w:r>
      <w:r>
        <w:rPr>
          <w:rFonts w:hint="default" w:ascii="宋体" w:hAnsi="宋体" w:eastAsia="仿宋_GB2312" w:cs="Times New Roman"/>
          <w:b/>
          <w:color w:val="000000" w:themeColor="text1"/>
          <w:spacing w:val="-6"/>
          <w:sz w:val="32"/>
          <w:szCs w:val="32"/>
          <w:u w:val="none"/>
          <w:lang w:val="en-US" w:eastAsia="zh-CN"/>
          <w14:textFill>
            <w14:solidFill>
              <w14:schemeClr w14:val="tx1"/>
            </w14:solidFill>
          </w14:textFill>
        </w:rPr>
        <w:t>造与装配式建筑</w:t>
      </w:r>
      <w:r>
        <w:rPr>
          <w:rFonts w:hint="eastAsia" w:ascii="宋体" w:hAnsi="宋体" w:eastAsia="仿宋_GB2312" w:cs="Times New Roman"/>
          <w:b/>
          <w:color w:val="000000" w:themeColor="text1"/>
          <w:spacing w:val="-6"/>
          <w:sz w:val="32"/>
          <w:szCs w:val="32"/>
          <w:u w:val="none"/>
          <w:lang w:val="en-US" w:eastAsia="zh-CN"/>
          <w14:textFill>
            <w14:solidFill>
              <w14:schemeClr w14:val="tx1"/>
            </w14:solidFill>
          </w14:textFill>
        </w:rPr>
        <w:t>产业</w:t>
      </w:r>
      <w:r>
        <w:rPr>
          <w:rFonts w:hint="default" w:ascii="宋体" w:hAnsi="宋体" w:eastAsia="仿宋_GB2312" w:cs="Times New Roman"/>
          <w:b/>
          <w:color w:val="000000" w:themeColor="text1"/>
          <w:spacing w:val="-6"/>
          <w:sz w:val="32"/>
          <w:szCs w:val="32"/>
          <w:u w:val="none"/>
          <w:lang w:val="en-US" w:eastAsia="zh-CN"/>
          <w14:textFill>
            <w14:solidFill>
              <w14:schemeClr w14:val="tx1"/>
            </w14:solidFill>
          </w14:textFill>
        </w:rPr>
        <w:t>为主攻方向，加快推进贝迪超低能耗产业园</w:t>
      </w:r>
      <w:r>
        <w:rPr>
          <w:rFonts w:hint="eastAsia" w:ascii="宋体" w:hAnsi="宋体" w:eastAsia="仿宋_GB2312" w:cs="Times New Roman"/>
          <w:b/>
          <w:color w:val="000000" w:themeColor="text1"/>
          <w:spacing w:val="-6"/>
          <w:sz w:val="32"/>
          <w:szCs w:val="32"/>
          <w:u w:val="none"/>
          <w:lang w:val="en-US" w:eastAsia="zh-CN"/>
          <w14:textFill>
            <w14:solidFill>
              <w14:schemeClr w14:val="tx1"/>
            </w14:solidFill>
          </w14:textFill>
        </w:rPr>
        <w:t>等</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66个</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重点</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产业项目、52个“老树发新枝”项目</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建设</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，提升产业链集聚水平。</w:t>
      </w:r>
    </w:p>
    <w:p w14:paraId="04F0A484">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快培育新质生产力。聚焦循环经济、智能激光装备、应用型机器人等方向，加快威驰激光装备等19个项目开工建设，培育壮大新兴产业。依托山东未来畜禽种业产业园，加快动物P3实验室、兽药GLP/GCP平台资质认定，培育发展基因技术、基因育种等前沿产业。加快新型储能、人工智能等未来产业项目招引，不断拓展新业态。实施工艺升级、数转智改、低碳改造等80个技改项目建设，推进大规模设备更新，让老企业催生新动能。</w:t>
      </w:r>
    </w:p>
    <w:p w14:paraId="5C71B38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推进现代服务业扩能提质。持续开展服务业攻坚，完善区产业研发中心等服务业载体功能，加快推进鲁中数智物流等项目建设，</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大力发展现代物流、科技服务、检验检测、节能环保等知识密集型服务业态，促进生产性服务业与先进制造业深度融合。</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扩大文体娱乐、教育培训、康养休闲等服务供给，加快山东棋院等项目开工建设，推动生活性服务业向高品质、多样化、便利化发展。加强</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新智人才、文华教育等</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服务业企业培育与纳统，促进规上服务业营业收入稳步增长。</w:t>
      </w:r>
    </w:p>
    <w:p w14:paraId="7E0AB1E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楷体_GB2312" w:cs="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（二）扩大有效需求，在抓投资促消费上持续加力</w:t>
      </w:r>
    </w:p>
    <w:p w14:paraId="107D833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精准开展招商引资。锚定“3+2”主导产业，动态更新“一图两清单”，巩固拓展“七个协同”招商机制，靶向招引关键环节配套企业，新谋划招引优质主导产业项目80个以上。</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完善“谋划-招引-签约-落地-投产”闭环推进机制，</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做好新富科技轻量化构件</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等</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166个重点</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在谈项目</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跟踪服务</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力促项目</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签约</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落地</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p>
    <w:p w14:paraId="0CBBED96">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全力推进项目建设。紧盯10个省级、30个市级、238个区级储备重点项目，强化全生命周期服务保障，加快推进钢宝科贸专用轨道制造等89个在库结转项目建设，抓好欧若色彩科技及功能材料等116个计划新入库纳统项目服务，有效推进投资量稳质升。紧盯“两重”、产业升级、民生事业等领域，积极谋划一批打基础、利长远、补短板、惠民生的大项目、好项目。</w:t>
      </w:r>
    </w:p>
    <w:p w14:paraId="7095717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促进消费扩容升级。稳步扩大商品消费，组织“以旧换新”等区级促消费活动25场次以上，激活消费市场潜力。创新消费供给，加快希尔顿花园酒店等项目建设，积极培育引进优质电商服务商，推动线上线下消费深度融合。提振居住服务消费，扩大高品质住房供给，支持刚性和改善性住房需求。扩容升级服务消费，举办第二届“村拔”擂台赛，承办汽车越野赛等大型赛事活动16场次以上，推动餐饮、住宿、文旅等产业链协同发展，实现“以赛促游、以游带消”的良性循环。</w:t>
      </w:r>
    </w:p>
    <w:p w14:paraId="49DA2ABE">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（三）深化创新创业，在激发发展内生动力上持续加力</w:t>
      </w:r>
    </w:p>
    <w:p w14:paraId="5EC2E3A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抓紧抓实创新创业</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快推动各类创新资源的高效整合和有效衔接，统筹做好企业培育、制度设计、要素保障等工作，培育发展内生动力。健全企业政策需求库，推动政策集成创新，加快国家、省、市、区四级创新创业政策落地实施。拓展“产才对接”机制，精准链接产业需求与人才智力资源，柔性引进高层次人才15人以上，培育各类技能人才200人。</w:t>
      </w:r>
    </w:p>
    <w:p w14:paraId="3E8BD3DE">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大科技创新力度。推动科技创新、产业创新深度融合，实施市级以上科技计划项目10个以上。扩容优质科技成果转化项目库，加快推进异质合金管等6个转化项目落地。深化产学研合作，推动高校、科研院所与企业共建联合实验室和技术研发中心，全社会研发经费投入占比保持在4%以上，每万人高价值发明专利拥有量增长6.7%以上。</w:t>
      </w:r>
    </w:p>
    <w:p w14:paraId="094F0980">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拓宽“双创”活力空间。强化载体支撑，用好</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区科创中心、开发区</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创新创业示范</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园等载体</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平台</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推动中南大学粉末冶金研究院、云宁新能源等优质项目入驻，加强载体专业化运营和招商服务，打造标志性创新创业集聚区。突出企业创新主体地位，新培育“专精特新”、单项冠军等品牌企业15家，新申报高新技术企业33家，科技型中小企业评价入库155家。</w:t>
      </w:r>
    </w:p>
    <w:p w14:paraId="18651D5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（四）优化营商环境，在增强市场活力上持续加力</w:t>
      </w:r>
    </w:p>
    <w:p w14:paraId="7EBDE3DB">
      <w:pPr>
        <w:keepNext w:val="0"/>
        <w:keepLines w:val="0"/>
        <w:pageBreakBefore w:val="0"/>
        <w:widowControl w:val="0"/>
        <w:kinsoku/>
        <w:wordWrap/>
        <w:topLinePunct w:val="0"/>
        <w:autoSpaceDE/>
        <w:autoSpaceDN/>
        <w:bidi w:val="0"/>
        <w:snapToGrid w:val="0"/>
        <w:spacing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打造高效便利的政务环境。深化“高效办成一件事”改革，大力精简行政审批流程，推进更多涉企经营发展“一件事”事项落地。加快推进政务服务智能化，</w:t>
      </w:r>
      <w:r>
        <w:rPr>
          <w:rFonts w:hint="eastAsia" w:cs="Times New Roman"/>
          <w:b/>
          <w:color w:val="000000" w:themeColor="text1"/>
          <w:sz w:val="32"/>
          <w:szCs w:val="32"/>
          <w:u w:val="none"/>
          <w:lang w:val="en-US" w:eastAsia="zh-CN"/>
          <w14:textFill>
            <w14:solidFill>
              <w14:schemeClr w14:val="tx1"/>
            </w14:solidFill>
          </w14:textFill>
        </w:rPr>
        <w:t>拓展</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“泉惠企”“E企通·全档智管”大数据平台应用，推动政务服务提速增效。更加自觉尊重、理解和支持企业创新创业创造，构建亲清新型政商关系。</w:t>
      </w:r>
    </w:p>
    <w:p w14:paraId="02D35B23">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打造便企惠企的市场环境。开展“优企服务”活动，举办区级供需对接、政银企对接等活动20场次以上。建立常态化政企沟通交流机制，</w:t>
      </w:r>
      <w:r>
        <w:rPr>
          <w:rFonts w:hint="eastAsia" w:ascii="宋体" w:hAnsi="宋体" w:eastAsia="仿宋_GB2312" w:cs="Times New Roman"/>
          <w:b/>
          <w:color w:val="000000" w:themeColor="text1"/>
          <w:spacing w:val="-6"/>
          <w:sz w:val="32"/>
          <w:szCs w:val="32"/>
          <w:u w:val="none"/>
          <w:lang w:val="en-US" w:eastAsia="zh-CN"/>
          <w14:textFill>
            <w14:solidFill>
              <w14:schemeClr w14:val="tx1"/>
            </w14:solidFill>
          </w14:textFill>
        </w:rPr>
        <w:t>强化12345市民服务热线企业诉求“接诉即办”与“泉惠企”协同联动，持续开展“钢好办·每月谈”，全力为企业</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解难题。建立惠企政策服务评价与反馈机制，强化政策落实闭环管理，“即申即享、免</w:t>
      </w:r>
      <w:r>
        <w:rPr>
          <w:rFonts w:hint="eastAsia" w:cs="Times New Roman"/>
          <w:b/>
          <w:color w:val="000000" w:themeColor="text1"/>
          <w:sz w:val="32"/>
          <w:szCs w:val="32"/>
          <w:u w:val="none"/>
          <w:lang w:val="en-US" w:eastAsia="zh-CN"/>
          <w14:textFill>
            <w14:solidFill>
              <w14:schemeClr w14:val="tx1"/>
            </w14:solidFill>
          </w14:textFill>
        </w:rPr>
        <w:t>申</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即享”覆盖率达到50%以上。加力清理拖欠民营企业账款，切实维护企业合法权益。</w:t>
      </w:r>
    </w:p>
    <w:p w14:paraId="588ED8E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default" w:ascii="宋体" w:hAnsi="宋体" w:eastAsia="仿宋_GB2312" w:cs="Times New Roman"/>
          <w:b/>
          <w:color w:val="000000" w:themeColor="text1"/>
          <w:sz w:val="32"/>
          <w:szCs w:val="32"/>
          <w:u w:val="none"/>
          <w:lang w:eastAsia="zh-CN"/>
          <w14:textFill>
            <w14:solidFill>
              <w14:schemeClr w14:val="tx1"/>
            </w14:solidFill>
          </w14:textFill>
        </w:rPr>
        <w:t>打造公平公正的法治环境。</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规范涉企行政检查，用好“鲁执法”平台，实现“进一次门、查多项事”，切实为经营主体松绑减负。建立多元化涉企纠纷快速协调解决机制，加强企业舆情管控联动，切实为企业分忧解难。加强知识产权保护，严厉打击知识产权侵权、不正当竞争等违法行为，全力维护企业合法权益。</w:t>
      </w:r>
    </w:p>
    <w:p w14:paraId="637E0AC1">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w:t>
      </w:r>
      <w:r>
        <w:rPr>
          <w:rFonts w:hint="default" w:ascii="宋体" w:hAnsi="宋体" w:eastAsia="楷体_GB2312" w:cs="楷体_GB2312"/>
          <w:b/>
          <w:color w:val="000000" w:themeColor="text1"/>
          <w:sz w:val="32"/>
          <w:szCs w:val="32"/>
          <w:u w:val="none"/>
          <w:lang w:eastAsia="zh-CN"/>
          <w14:textFill>
            <w14:solidFill>
              <w14:schemeClr w14:val="tx1"/>
            </w14:solidFill>
          </w14:textFill>
        </w:rPr>
        <w:t>五</w:t>
      </w: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）聚焦宜居宜业，在提升城市功能品质上持续加力</w:t>
      </w:r>
    </w:p>
    <w:p w14:paraId="442D019B">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有序推进城市更新。以整体优化、品质提升、功能完善为导向，加快推进城市更新和城中村改造。艾山片区重点推进企业家总部、区级邻里中心等14个项目建设。高家庄安置区、桲椤社区安置区按期交付。完成40个小区供水、8个小区供电提质改造，</w:t>
      </w:r>
      <w:r>
        <w:rPr>
          <w:rFonts w:hint="default" w:ascii="宋体" w:hAnsi="宋体" w:eastAsia="仿宋_GB2312" w:cs="Times New Roman"/>
          <w:b/>
          <w:color w:val="000000" w:themeColor="text1"/>
          <w:sz w:val="32"/>
          <w:szCs w:val="32"/>
          <w:u w:val="none"/>
          <w:lang w:val="en-US" w:eastAsia="zh-CN"/>
          <w14:textFill>
            <w14:solidFill>
              <w14:schemeClr w14:val="tx1"/>
            </w14:solidFill>
          </w14:textFill>
        </w:rPr>
        <w:t>切实改善群众居住环境。</w:t>
      </w:r>
    </w:p>
    <w:p w14:paraId="42749156">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持续完善城市功能。新改建悦府西路等3条道路，打通商场路、利民路2条断头路，在钢都大街、新兴路等5条道路新建交通信号“绿波带”，提升道路通行效率。完善新能源充电设施布局，新建新能源汽车充电站20座。提升绿化品质，建设拾光园等公园游园3个，新增城市绿地面积3万平方米。</w:t>
      </w:r>
    </w:p>
    <w:p w14:paraId="16D2F05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强城市精细化管理。高质量推进道路保洁作业、建筑垃圾全过程管理、围挡设施管理等十八项城市精细化管理重点工作，实行多元协同治理，推动城市管理向城市治理转变。常态化开展市场秩序整治，新建提升4处便民疏导点，大力整治占道经营、机动车违停等问题。完成10条背街小巷综合治理，加强城市街道外立面整治，营造安全有序、整洁美观的城市环境。新建提升垃圾分类亭（房）60个，铺设可回收物回收站点30处，推动再生资源回收体系与垃圾分类收运体系“两网融合”。</w:t>
      </w:r>
    </w:p>
    <w:p w14:paraId="51332AF1">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w:t>
      </w:r>
      <w:r>
        <w:rPr>
          <w:rFonts w:hint="default" w:ascii="宋体" w:hAnsi="宋体" w:eastAsia="楷体_GB2312" w:cs="楷体_GB2312"/>
          <w:b/>
          <w:color w:val="000000" w:themeColor="text1"/>
          <w:sz w:val="32"/>
          <w:szCs w:val="32"/>
          <w:u w:val="none"/>
          <w:lang w:eastAsia="zh-CN"/>
          <w14:textFill>
            <w14:solidFill>
              <w14:schemeClr w14:val="tx1"/>
            </w14:solidFill>
          </w14:textFill>
        </w:rPr>
        <w:t>六</w:t>
      </w: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）推进乡村振兴，在加快农业农村现代化上持续加力</w:t>
      </w:r>
    </w:p>
    <w:p w14:paraId="46EE6BB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提质发展现代农业。加快齐鲁未来“种”谷项目建设，推进基因编辑奶牛示范牧场二期等24个农业项目建设，市级以上农业龙头企业达到26家以上。实施“三黑”养殖扩能行动，做优“猪老大”等“三黑”特色品牌。推进沃野兴农乡村振兴示范区建设，持续</w:t>
      </w:r>
      <w:r>
        <w:rPr>
          <w:rFonts w:hint="eastAsia" w:ascii="宋体" w:hAnsi="宋体" w:eastAsia="仿宋_GB2312" w:cs="Times New Roman"/>
          <w:b/>
          <w:color w:val="000000" w:themeColor="text1"/>
          <w:sz w:val="32"/>
          <w:szCs w:val="32"/>
          <w:highlight w:val="none"/>
          <w:u w:val="none"/>
          <w:lang w:val="en-US" w:eastAsia="zh-CN"/>
          <w14:textFill>
            <w14:solidFill>
              <w14:schemeClr w14:val="tx1"/>
            </w14:solidFill>
          </w14:textFill>
        </w:rPr>
        <w:t>打造“千亩方”粮食生</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产功能区，粮食播种面积稳定在6.56万亩、粮食总产量稳定在2.6万吨以上。</w:t>
      </w:r>
    </w:p>
    <w:p w14:paraId="0DF0EE1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着力打造美丽乡村。加快“印象棋山·和美里辛”“青松里”等乡村振兴示范片区建设，推进辛庄街道全域土地综合整治，推动基础设施和公共服务向农村延伸覆盖。实施农村道路提升工程30公里，开通物流配送专线16条，畅通农村物流配送“最后一公里”。实施农村人居环境整治基础设施补短板以工代赈项目，不断改善农村人居环境。</w:t>
      </w:r>
    </w:p>
    <w:p w14:paraId="7E75E177">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持续推进富民增收。推动村级特色产业集群发展，培植蜜桃、樱桃、番茄、草莓等特色产业联盟，积极引导“一村一业”向“多村一业”转换，提升乡村产业竞争力。深化农业农村改革，建设区级农事综合服务中心、农村产权交易中心，规范土地流转管理，盘活闲置资源资产，“三变”改革覆盖行政村200个以上。串联各村居农文旅资源，推动乡村生态“颜值”向富民“产值”转化。</w:t>
      </w:r>
    </w:p>
    <w:p w14:paraId="5522793F">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楷体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w:t>
      </w:r>
      <w:r>
        <w:rPr>
          <w:rFonts w:hint="default" w:ascii="宋体" w:hAnsi="宋体" w:eastAsia="楷体_GB2312" w:cs="楷体_GB2312"/>
          <w:b/>
          <w:color w:val="000000" w:themeColor="text1"/>
          <w:sz w:val="32"/>
          <w:szCs w:val="32"/>
          <w:u w:val="none"/>
          <w:lang w:eastAsia="zh-CN"/>
          <w14:textFill>
            <w14:solidFill>
              <w14:schemeClr w14:val="tx1"/>
            </w14:solidFill>
          </w14:textFill>
        </w:rPr>
        <w:t>七</w:t>
      </w: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）推动</w:t>
      </w:r>
      <w:r>
        <w:rPr>
          <w:rFonts w:hint="default" w:ascii="宋体" w:hAnsi="宋体" w:eastAsia="楷体_GB2312" w:cs="楷体_GB2312"/>
          <w:b/>
          <w:color w:val="000000" w:themeColor="text1"/>
          <w:sz w:val="32"/>
          <w:szCs w:val="32"/>
          <w:u w:val="none"/>
          <w:lang w:val="en-US" w:eastAsia="zh-CN"/>
          <w14:textFill>
            <w14:solidFill>
              <w14:schemeClr w14:val="tx1"/>
            </w14:solidFill>
          </w14:textFill>
        </w:rPr>
        <w:t>绿色发展，</w:t>
      </w: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在</w:t>
      </w:r>
      <w:r>
        <w:rPr>
          <w:rFonts w:hint="default" w:ascii="宋体" w:hAnsi="宋体" w:eastAsia="楷体_GB2312" w:cs="楷体_GB2312"/>
          <w:b/>
          <w:color w:val="000000" w:themeColor="text1"/>
          <w:sz w:val="32"/>
          <w:szCs w:val="32"/>
          <w:u w:val="none"/>
          <w:lang w:val="en-US" w:eastAsia="zh-CN"/>
          <w14:textFill>
            <w14:solidFill>
              <w14:schemeClr w14:val="tx1"/>
            </w14:solidFill>
          </w14:textFill>
        </w:rPr>
        <w:t>生态环境</w:t>
      </w: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保护上持续加力</w:t>
      </w:r>
    </w:p>
    <w:p w14:paraId="59B94599">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深化污染防治。加强污染源头治理，推进钢铁、焦化等重点行业超低排放改造，巩固移动源污染、挥发性有机物防治成果，持续改善空气环境质量。严格落实“河长制”，深入开展入河排污口、饮用水水源地等专项整治，提标改造区第二污水处理厂，改造提升污水处理管网12公里，确保河道断面水质持续稳定达标。加强农业面源污染治理，严格管控固体废物、危险废物，推进土壤污染防治与修复，确保土壤环境安全。</w:t>
      </w:r>
    </w:p>
    <w:p w14:paraId="1099FD69">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强生态修复。深入实施国土绿化行动和生态修复工程，扎实开展中幼林抚育、林木种质资源保护，完成森林抚育1166亩。加强矿产资源规范管理，持续推进绿色矿山建设和历史遗留矿山生态修复，完成7处废弃矿山综合治理。推进54座小型水库维修养护，加快辛庄河、盘龙河流域生态修复，常态化抓好“清四乱”及河道垃圾治理，巩固河道生态治理成效。</w:t>
      </w:r>
    </w:p>
    <w:p w14:paraId="489E2141">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加快绿色转型。严格落实“两高”项目管控要求，持续开展能耗“双控”和煤炭消费减量替代。全面推进重点行业绿色化改造，新建绿色工厂、绿色供应链企业4家。推动再生资源规范化、规模化利用，加快构建废弃物循环利用体系。</w:t>
      </w:r>
    </w:p>
    <w:p w14:paraId="70595511">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楷体_GB2312"/>
          <w:b/>
          <w:color w:val="000000" w:themeColor="text1"/>
          <w:kern w:val="2"/>
          <w:sz w:val="32"/>
          <w:szCs w:val="32"/>
          <w:u w:val="none"/>
          <w:lang w:val="en-US" w:eastAsia="zh-CN" w:bidi="ar-SA"/>
          <w14:textFill>
            <w14:solidFill>
              <w14:schemeClr w14:val="tx1"/>
            </w14:solidFill>
          </w14:textFill>
        </w:rPr>
      </w:pPr>
      <w:r>
        <w:rPr>
          <w:rFonts w:hint="eastAsia" w:ascii="宋体" w:hAnsi="宋体" w:eastAsia="楷体_GB2312" w:cs="楷体_GB2312"/>
          <w:b/>
          <w:color w:val="000000" w:themeColor="text1"/>
          <w:kern w:val="2"/>
          <w:sz w:val="32"/>
          <w:szCs w:val="32"/>
          <w:u w:val="none"/>
          <w:lang w:val="en-US" w:eastAsia="zh-CN" w:bidi="ar-SA"/>
          <w14:textFill>
            <w14:solidFill>
              <w14:schemeClr w14:val="tx1"/>
            </w14:solidFill>
          </w14:textFill>
        </w:rPr>
        <w:t>（</w:t>
      </w:r>
      <w:r>
        <w:rPr>
          <w:rFonts w:hint="default" w:ascii="宋体" w:hAnsi="宋体" w:eastAsia="楷体_GB2312" w:cs="楷体_GB2312"/>
          <w:b/>
          <w:color w:val="000000" w:themeColor="text1"/>
          <w:kern w:val="2"/>
          <w:sz w:val="32"/>
          <w:szCs w:val="32"/>
          <w:u w:val="none"/>
          <w:lang w:eastAsia="zh-CN" w:bidi="ar-SA"/>
          <w14:textFill>
            <w14:solidFill>
              <w14:schemeClr w14:val="tx1"/>
            </w14:solidFill>
          </w14:textFill>
        </w:rPr>
        <w:t>八</w:t>
      </w:r>
      <w:r>
        <w:rPr>
          <w:rFonts w:hint="eastAsia" w:ascii="宋体" w:hAnsi="宋体" w:eastAsia="楷体_GB2312" w:cs="楷体_GB2312"/>
          <w:b/>
          <w:color w:val="000000" w:themeColor="text1"/>
          <w:kern w:val="2"/>
          <w:sz w:val="32"/>
          <w:szCs w:val="32"/>
          <w:u w:val="none"/>
          <w:lang w:val="en-US" w:eastAsia="zh-CN" w:bidi="ar-SA"/>
          <w14:textFill>
            <w14:solidFill>
              <w14:schemeClr w14:val="tx1"/>
            </w14:solidFill>
          </w14:textFill>
        </w:rPr>
        <w:t>）坚持人民至上，在增进民生福祉上持续加力</w:t>
      </w:r>
    </w:p>
    <w:p w14:paraId="6E3B4CC7">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稳定扩大就业。深入实施稳就业和职业技能提升行动，聚焦重点企业用工需求和劳动者求职需求，组织开展各类招聘活动50场次以上，开展职业技能培训3000人次以上。鼓励高校毕业生、农民工、就业困难人员等重点群体灵活就业，发放创业担保贷款3500万元，新增城镇就业2200人。支持规范发展新就业形态，引导新业态从业人员参保，推进社会保险法定人群全覆盖。</w:t>
      </w:r>
    </w:p>
    <w:p w14:paraId="42F38F41">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健全社会保障。优化养老服务供给，整合区养老服务中心等资源，推进农村幸福食堂和城市社区助老驿站规范化管理，提升集中托养、康复护理、老年助餐等养老服务水平。全面推进医保参保扩面，健全分层分类社会救助体系，扎实做好妇女儿童、残疾人、困难群众等群体关爱服务和权益保障，兜牢民生底线。</w:t>
      </w:r>
    </w:p>
    <w:p w14:paraId="0141BFD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singl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优化公共服务。科学优化教育资源配置，加强教育教学管理，深化教学和评价改革，用好集团化办学、合作办学，完成区新兴路学校等5所学校改造提升，搭建校园天眼安全管理平台，促进基础教育扩优提质。建成区中医医院二期、区公共卫生中心，里辛街道社区卫生服务中心投入使用，改造村卫生室74处，提升基层医疗服务能力。深入实施文化惠民工程，开展“戏曲进乡村”等文化惠民活动1000余场次，提升公共文化服务覆盖面。优化“行走的思政课”研学实践服务，推动思政课与文化资源深度融合。强化文化遗产保护传承，提升澜头古村落非遗特色展示体验区，推进蟠龙梆子、靳氏针绣等非遗项目传承与创新发展，讲好钢城故事。</w:t>
      </w:r>
    </w:p>
    <w:p w14:paraId="7B44D5AC">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民之所望，政之所向。在前期广泛征集、充分论证的基础上，区政府遴选了25件民生实事候选项目，提请大会票决确定20件。我们将精心组织、全力实施，确保把好事办实、实事办好，让发展成果更多更公平惠及全区人民。</w:t>
      </w:r>
    </w:p>
    <w:p w14:paraId="3A90063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楷体_GB2312" w:cs="楷体_GB2312"/>
          <w:b/>
          <w:color w:val="000000" w:themeColor="text1"/>
          <w:kern w:val="2"/>
          <w:sz w:val="32"/>
          <w:szCs w:val="32"/>
          <w:u w:val="none"/>
          <w:lang w:val="en-US" w:eastAsia="zh-CN" w:bidi="ar-SA"/>
          <w14:textFill>
            <w14:solidFill>
              <w14:schemeClr w14:val="tx1"/>
            </w14:solidFill>
          </w14:textFill>
        </w:rPr>
      </w:pPr>
      <w:r>
        <w:rPr>
          <w:rFonts w:hint="eastAsia" w:ascii="宋体" w:hAnsi="宋体" w:eastAsia="楷体_GB2312" w:cs="楷体_GB2312"/>
          <w:b/>
          <w:color w:val="000000" w:themeColor="text1"/>
          <w:kern w:val="2"/>
          <w:sz w:val="32"/>
          <w:szCs w:val="32"/>
          <w:u w:val="none"/>
          <w:lang w:val="en-US" w:eastAsia="zh-CN" w:bidi="ar-SA"/>
          <w14:textFill>
            <w14:solidFill>
              <w14:schemeClr w14:val="tx1"/>
            </w14:solidFill>
          </w14:textFill>
        </w:rPr>
        <w:t>（</w:t>
      </w:r>
      <w:r>
        <w:rPr>
          <w:rFonts w:hint="default" w:ascii="宋体" w:hAnsi="宋体" w:eastAsia="楷体_GB2312" w:cs="楷体_GB2312"/>
          <w:b/>
          <w:color w:val="000000" w:themeColor="text1"/>
          <w:kern w:val="2"/>
          <w:sz w:val="32"/>
          <w:szCs w:val="32"/>
          <w:u w:val="none"/>
          <w:lang w:eastAsia="zh-CN" w:bidi="ar-SA"/>
          <w14:textFill>
            <w14:solidFill>
              <w14:schemeClr w14:val="tx1"/>
            </w14:solidFill>
          </w14:textFill>
        </w:rPr>
        <w:t>九</w:t>
      </w:r>
      <w:r>
        <w:rPr>
          <w:rFonts w:hint="eastAsia" w:ascii="宋体" w:hAnsi="宋体" w:eastAsia="楷体_GB2312" w:cs="楷体_GB2312"/>
          <w:b/>
          <w:color w:val="000000" w:themeColor="text1"/>
          <w:kern w:val="2"/>
          <w:sz w:val="32"/>
          <w:szCs w:val="32"/>
          <w:u w:val="none"/>
          <w:lang w:val="en-US" w:eastAsia="zh-CN" w:bidi="ar-SA"/>
          <w14:textFill>
            <w14:solidFill>
              <w14:schemeClr w14:val="tx1"/>
            </w14:solidFill>
          </w14:textFill>
        </w:rPr>
        <w:t>）守牢发展底线，在维护安全稳定上持续加力</w:t>
      </w:r>
    </w:p>
    <w:p w14:paraId="358ACC88">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default"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筑牢安全生产防线。统筹抓好工贸、建筑施工、道路交通、消防安全、森林防火等重点领域隐患排查治理，强化危化品、有限空间作业、企业外包施工等专项整治，确保安全生产治本攻坚三年行动圆满收官。加强防灾减灾体系和应急处置能力建设，提升改造防洪排涝等基础设施，进一步完善应急预案，常态化开展应急救援演练，不断提升本质安全水平。</w:t>
      </w:r>
    </w:p>
    <w:p w14:paraId="66B1BCEE">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防范化解重大风险。强化“三债统管”，确保财政运行平稳可持续。持续推进国资监管系统建设，对区属国企进行“全级次穿透式”监管，提升规范化发展水平。强化金融监管协同，精准防范处置涉众金融、非法集资等领域风险，严厉打击违法违规金融活动，守住不发生系统性风险底线。</w:t>
      </w:r>
    </w:p>
    <w:p w14:paraId="1CB3BCD9">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Fonts w:hint="eastAsia" w:ascii="宋体" w:hAnsi="宋体" w:eastAsia="仿宋_GB2312" w:cs="Times New Roman"/>
          <w:b/>
          <w:color w:val="000000" w:themeColor="text1"/>
          <w:sz w:val="32"/>
          <w:szCs w:val="32"/>
          <w:u w:val="none"/>
          <w:lang w:val="en-US" w:eastAsia="zh-CN"/>
          <w14:textFill>
            <w14:solidFill>
              <w14:schemeClr w14:val="tx1"/>
            </w14:solidFill>
          </w14:textFill>
        </w:rPr>
      </w:pP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全面建设平安钢城。坚持和发展新时代“枫桥经验”，推进信访工作法治化，深化基层网格治理，持续推进矛盾纠纷多元排查化解。深化数智警务建设，推进社会治安综合治理，常态化开展扫黑除恶</w:t>
      </w:r>
      <w:r>
        <w:rPr>
          <w:rFonts w:hint="eastAsia" w:cs="Times New Roman"/>
          <w:b/>
          <w:color w:val="000000" w:themeColor="text1"/>
          <w:sz w:val="32"/>
          <w:szCs w:val="32"/>
          <w:u w:val="none"/>
          <w:lang w:val="en-US" w:eastAsia="zh-CN"/>
          <w14:textFill>
            <w14:solidFill>
              <w14:schemeClr w14:val="tx1"/>
            </w14:solidFill>
          </w14:textFill>
        </w:rPr>
        <w:t>专项</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斗争，严厉打击电信网络诈骗、养老诈骗等各类违法犯罪行为，确保社会大局和谐稳定。</w:t>
      </w:r>
    </w:p>
    <w:p w14:paraId="704B989A">
      <w:pPr>
        <w:pStyle w:val="4"/>
        <w:keepNext w:val="0"/>
        <w:keepLines w:val="0"/>
        <w:pageBreakBefore w:val="0"/>
        <w:widowControl w:val="0"/>
        <w:kinsoku/>
        <w:wordWrap/>
        <w:overflowPunct w:val="0"/>
        <w:topLinePunct w:val="0"/>
        <w:autoSpaceDE/>
        <w:autoSpaceDN/>
        <w:bidi w:val="0"/>
        <w:snapToGrid w:val="0"/>
        <w:spacing w:after="0" w:line="616" w:lineRule="exact"/>
        <w:ind w:left="0" w:leftChars="0" w:firstLine="632" w:firstLineChars="200"/>
        <w:textAlignment w:val="auto"/>
        <w:rPr>
          <w:rStyle w:val="12"/>
          <w:rFonts w:ascii="宋体" w:hAnsi="宋体" w:eastAsia="黑体"/>
          <w:color w:val="000000" w:themeColor="text1"/>
          <w:sz w:val="32"/>
          <w:szCs w:val="32"/>
          <w:u w:val="none"/>
          <w14:textFill>
            <w14:solidFill>
              <w14:schemeClr w14:val="tx1"/>
            </w14:solidFill>
          </w14:textFill>
        </w:rPr>
      </w:pPr>
      <w:r>
        <w:rPr>
          <w:rStyle w:val="12"/>
          <w:rFonts w:hint="eastAsia" w:ascii="宋体" w:hAnsi="宋体" w:eastAsia="黑体"/>
          <w:color w:val="000000" w:themeColor="text1"/>
          <w:sz w:val="32"/>
          <w:szCs w:val="32"/>
          <w:u w:val="none"/>
          <w:lang w:val="en-US" w:eastAsia="zh-CN"/>
          <w14:textFill>
            <w14:solidFill>
              <w14:schemeClr w14:val="tx1"/>
            </w14:solidFill>
          </w14:textFill>
        </w:rPr>
        <w:t>四</w:t>
      </w:r>
      <w:r>
        <w:rPr>
          <w:rStyle w:val="12"/>
          <w:rFonts w:ascii="宋体" w:hAnsi="宋体" w:eastAsia="黑体"/>
          <w:color w:val="000000" w:themeColor="text1"/>
          <w:sz w:val="32"/>
          <w:szCs w:val="32"/>
          <w:u w:val="none"/>
          <w14:textFill>
            <w14:solidFill>
              <w14:schemeClr w14:val="tx1"/>
            </w14:solidFill>
          </w14:textFill>
        </w:rPr>
        <w:t>、全面加强政府自身建设</w:t>
      </w:r>
    </w:p>
    <w:p w14:paraId="6E76F53C">
      <w:pPr>
        <w:keepNext w:val="0"/>
        <w:keepLines w:val="0"/>
        <w:pageBreakBefore w:val="0"/>
        <w:widowControl w:val="0"/>
        <w:tabs>
          <w:tab w:val="left" w:pos="651"/>
        </w:tabs>
        <w:kinsoku/>
        <w:wordWrap/>
        <w:overflowPunct w:val="0"/>
        <w:topLinePunct w:val="0"/>
        <w:autoSpaceDE/>
        <w:autoSpaceDN/>
        <w:bidi w:val="0"/>
        <w:snapToGrid w:val="0"/>
        <w:spacing w:line="616" w:lineRule="exact"/>
        <w:ind w:left="0" w:leftChars="0" w:firstLine="632" w:firstLineChars="200"/>
        <w:textAlignment w:val="auto"/>
        <w:rPr>
          <w:rFonts w:hint="eastAsia" w:ascii="宋体" w:hAnsi="宋体" w:eastAsia="仿宋_GB2312"/>
          <w:b/>
          <w:color w:val="000000" w:themeColor="text1"/>
          <w:sz w:val="32"/>
          <w:szCs w:val="32"/>
          <w:u w:val="none"/>
          <w14:textFill>
            <w14:solidFill>
              <w14:schemeClr w14:val="tx1"/>
            </w14:solidFill>
          </w14:textFill>
        </w:rPr>
      </w:pPr>
      <w:r>
        <w:rPr>
          <w:rFonts w:hint="eastAsia" w:ascii="宋体" w:hAnsi="宋体" w:eastAsia="仿宋_GB2312"/>
          <w:b/>
          <w:color w:val="000000" w:themeColor="text1"/>
          <w:sz w:val="32"/>
          <w:szCs w:val="32"/>
          <w:u w:val="none"/>
          <w14:textFill>
            <w14:solidFill>
              <w14:schemeClr w14:val="tx1"/>
            </w14:solidFill>
          </w14:textFill>
        </w:rPr>
        <w:t>各位代表，为政之要，重在力行，贵在担当。</w:t>
      </w:r>
      <w:r>
        <w:rPr>
          <w:rFonts w:hint="eastAsia" w:ascii="宋体" w:hAnsi="宋体" w:eastAsia="仿宋_GB2312"/>
          <w:b/>
          <w:color w:val="000000" w:themeColor="text1"/>
          <w:sz w:val="32"/>
          <w:szCs w:val="32"/>
          <w:u w:val="none"/>
          <w:lang w:val="en-US" w:eastAsia="zh-CN"/>
          <w14:textFill>
            <w14:solidFill>
              <w14:schemeClr w14:val="tx1"/>
            </w14:solidFill>
          </w14:textFill>
        </w:rPr>
        <w:t>我们将坚持和加强党的全面领导，把笃信、务实、担当、自律作为核心履职要求，把抓落实作为政府工作的基本定位，全面提升政府治理能力和水平，努力建设人民满意政府。</w:t>
      </w:r>
    </w:p>
    <w:p w14:paraId="28F14FC7">
      <w:pPr>
        <w:keepNext w:val="0"/>
        <w:keepLines w:val="0"/>
        <w:pageBreakBefore w:val="0"/>
        <w:widowControl w:val="0"/>
        <w:kinsoku/>
        <w:wordWrap/>
        <w:overflowPunct w:val="0"/>
        <w:topLinePunct w:val="0"/>
        <w:autoSpaceDE/>
        <w:autoSpaceDN/>
        <w:bidi w:val="0"/>
        <w:snapToGrid w:val="0"/>
        <w:spacing w:line="616" w:lineRule="exact"/>
        <w:ind w:left="0" w:leftChars="0" w:firstLine="632" w:firstLineChars="200"/>
        <w:textAlignment w:val="auto"/>
        <w:rPr>
          <w:rFonts w:hint="eastAsia" w:ascii="宋体" w:hAnsi="宋体" w:eastAsia="仿宋_GB2312"/>
          <w:b/>
          <w:color w:val="auto"/>
          <w:sz w:val="32"/>
          <w:szCs w:val="32"/>
          <w:highlight w:val="none"/>
          <w:u w:val="none"/>
          <w:lang w:val="en-US" w:eastAsia="zh-CN"/>
        </w:rPr>
      </w:pPr>
      <w:r>
        <w:rPr>
          <w:rFonts w:hint="eastAsia" w:ascii="宋体" w:hAnsi="宋体" w:eastAsia="楷体_GB2312" w:cs="楷体_GB2312"/>
          <w:b/>
          <w:color w:val="auto"/>
          <w:sz w:val="32"/>
          <w:szCs w:val="32"/>
          <w:highlight w:val="none"/>
          <w:u w:val="none"/>
          <w:lang w:val="en-US" w:eastAsia="zh-CN"/>
        </w:rPr>
        <w:t>以忠诚铸魂，强化政治建设</w:t>
      </w:r>
      <w:r>
        <w:rPr>
          <w:rFonts w:hint="eastAsia" w:ascii="宋体" w:hAnsi="宋体" w:eastAsia="仿宋_GB2312" w:cs="Times New Roman"/>
          <w:b/>
          <w:color w:val="auto"/>
          <w:sz w:val="32"/>
          <w:szCs w:val="32"/>
          <w:highlight w:val="none"/>
          <w:u w:val="none"/>
          <w:lang w:val="en-US" w:eastAsia="zh-CN"/>
        </w:rPr>
        <w:t>。深学笃用习近平新时代中国特色社会主义思想，深刻领悟“两个确立”的决定性意义，增强“四个意识”、坚定“四个自信”、做到“两个维护”。</w:t>
      </w:r>
      <w:r>
        <w:rPr>
          <w:rFonts w:hint="eastAsia" w:ascii="宋体" w:hAnsi="宋体" w:eastAsia="仿宋_GB2312"/>
          <w:b/>
          <w:color w:val="auto"/>
          <w:sz w:val="32"/>
          <w:szCs w:val="32"/>
          <w:highlight w:val="none"/>
          <w:u w:val="none"/>
          <w:lang w:val="en-US" w:eastAsia="zh-CN"/>
        </w:rPr>
        <w:t>坚定不移贯彻</w:t>
      </w:r>
      <w:r>
        <w:rPr>
          <w:rFonts w:hint="eastAsia" w:ascii="宋体" w:hAnsi="宋体" w:eastAsia="仿宋_GB2312"/>
          <w:b/>
          <w:color w:val="auto"/>
          <w:sz w:val="32"/>
          <w:szCs w:val="32"/>
          <w:highlight w:val="none"/>
          <w:u w:val="none"/>
          <w:lang w:eastAsia="zh-CN"/>
        </w:rPr>
        <w:t>落实党中央决策部署和省委、市委工作要求</w:t>
      </w:r>
      <w:r>
        <w:rPr>
          <w:rFonts w:hint="eastAsia" w:ascii="宋体" w:hAnsi="宋体" w:eastAsia="仿宋_GB2312"/>
          <w:b/>
          <w:color w:val="auto"/>
          <w:sz w:val="32"/>
          <w:szCs w:val="32"/>
          <w:highlight w:val="none"/>
          <w:u w:val="none"/>
          <w:lang w:val="en-US" w:eastAsia="zh-CN"/>
        </w:rPr>
        <w:t>以及区委工作安排</w:t>
      </w:r>
      <w:r>
        <w:rPr>
          <w:rFonts w:hint="eastAsia" w:ascii="宋体" w:hAnsi="宋体" w:eastAsia="仿宋_GB2312"/>
          <w:b/>
          <w:color w:val="auto"/>
          <w:sz w:val="32"/>
          <w:szCs w:val="32"/>
          <w:highlight w:val="none"/>
          <w:u w:val="none"/>
          <w:lang w:eastAsia="zh-CN"/>
        </w:rPr>
        <w:t>，</w:t>
      </w:r>
      <w:r>
        <w:rPr>
          <w:rFonts w:hint="eastAsia" w:ascii="宋体" w:hAnsi="宋体" w:eastAsia="仿宋_GB2312"/>
          <w:b/>
          <w:color w:val="auto"/>
          <w:sz w:val="32"/>
          <w:szCs w:val="32"/>
          <w:highlight w:val="none"/>
          <w:u w:val="none"/>
          <w:lang w:val="en-US" w:eastAsia="zh-CN"/>
        </w:rPr>
        <w:t>确保政令畅通、令行禁止</w:t>
      </w:r>
      <w:r>
        <w:rPr>
          <w:rFonts w:hint="eastAsia" w:ascii="宋体" w:hAnsi="宋体" w:eastAsia="仿宋_GB2312"/>
          <w:b/>
          <w:color w:val="auto"/>
          <w:sz w:val="32"/>
          <w:szCs w:val="32"/>
          <w:highlight w:val="none"/>
          <w:u w:val="none"/>
          <w:lang w:eastAsia="zh-CN"/>
        </w:rPr>
        <w:t>。</w:t>
      </w:r>
      <w:r>
        <w:rPr>
          <w:rFonts w:hint="eastAsia" w:ascii="宋体" w:hAnsi="宋体" w:eastAsia="仿宋_GB2312"/>
          <w:b/>
          <w:color w:val="auto"/>
          <w:sz w:val="32"/>
          <w:szCs w:val="32"/>
          <w:highlight w:val="none"/>
          <w:u w:val="none"/>
          <w:lang w:val="en-US" w:eastAsia="zh-CN"/>
        </w:rPr>
        <w:t>扎实做好省委巡视反馈问题和审计、巡察发现问题整改。严格落实意识形态工作责任制。</w:t>
      </w:r>
    </w:p>
    <w:p w14:paraId="05992674">
      <w:pPr>
        <w:keepNext w:val="0"/>
        <w:keepLines w:val="0"/>
        <w:pageBreakBefore w:val="0"/>
        <w:widowControl w:val="0"/>
        <w:kinsoku/>
        <w:wordWrap/>
        <w:overflowPunct w:val="0"/>
        <w:topLinePunct w:val="0"/>
        <w:autoSpaceDE/>
        <w:autoSpaceDN/>
        <w:bidi w:val="0"/>
        <w:snapToGrid w:val="0"/>
        <w:spacing w:line="616" w:lineRule="exact"/>
        <w:ind w:left="0" w:leftChars="0" w:firstLine="632" w:firstLineChars="200"/>
        <w:textAlignment w:val="auto"/>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以法治强基，规范权力运行</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。深入践行习近平法治思想，</w:t>
      </w:r>
      <w:r>
        <w:rPr>
          <w:rFonts w:hint="eastAsia" w:ascii="宋体" w:hAnsi="宋体" w:eastAsia="仿宋_GB2312"/>
          <w:b/>
          <w:color w:val="000000" w:themeColor="text1"/>
          <w:sz w:val="32"/>
          <w14:textFill>
            <w14:solidFill>
              <w14:schemeClr w14:val="tx1"/>
            </w14:solidFill>
          </w14:textFill>
        </w:rPr>
        <w:t>严格按照法定权限、法定程序行使权力、履行职责</w:t>
      </w:r>
      <w:r>
        <w:rPr>
          <w:rFonts w:hint="eastAsia" w:ascii="宋体" w:hAnsi="宋体" w:eastAsia="仿宋_GB2312"/>
          <w:b/>
          <w:color w:val="000000" w:themeColor="text1"/>
          <w:sz w:val="32"/>
          <w:szCs w:val="32"/>
          <w:u w:val="none"/>
          <w:lang w:val="en-US" w:eastAsia="zh-CN"/>
          <w14:textFill>
            <w14:solidFill>
              <w14:schemeClr w14:val="tx1"/>
            </w14:solidFill>
          </w14:textFill>
        </w:rPr>
        <w:t>，规范公正文明执法</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w:t>
      </w:r>
      <w:r>
        <w:rPr>
          <w:rFonts w:hint="eastAsia" w:ascii="宋体" w:hAnsi="宋体" w:eastAsia="仿宋_GB2312"/>
          <w:b/>
          <w:color w:val="000000" w:themeColor="text1"/>
          <w:sz w:val="32"/>
          <w14:textFill>
            <w14:solidFill>
              <w14:schemeClr w14:val="tx1"/>
            </w14:solidFill>
          </w14:textFill>
        </w:rPr>
        <w:t>自觉接受人大法律监督、工作监督和政协民主监督，主动接受社会和舆论监督，让政府工作始终在法治轨道上开展。</w:t>
      </w:r>
      <w:r>
        <w:rPr>
          <w:rFonts w:hint="eastAsia" w:ascii="宋体" w:hAnsi="宋体" w:eastAsia="仿宋_GB2312" w:cs="Times New Roman"/>
          <w:b/>
          <w:color w:val="000000" w:themeColor="text1"/>
          <w:sz w:val="32"/>
          <w:szCs w:val="32"/>
          <w:u w:val="none"/>
          <w:lang w:val="en-US" w:eastAsia="zh-CN"/>
          <w14:textFill>
            <w14:solidFill>
              <w14:schemeClr w14:val="tx1"/>
            </w14:solidFill>
          </w14:textFill>
        </w:rPr>
        <w:t>扎实推进“九五”普法，加强政务公开和政务诚信建设</w:t>
      </w:r>
      <w:r>
        <w:rPr>
          <w:rFonts w:hint="eastAsia" w:ascii="宋体" w:hAnsi="宋体" w:eastAsia="仿宋_GB2312"/>
          <w:b/>
          <w:color w:val="000000" w:themeColor="text1"/>
          <w:sz w:val="32"/>
          <w14:textFill>
            <w14:solidFill>
              <w14:schemeClr w14:val="tx1"/>
            </w14:solidFill>
          </w14:textFill>
        </w:rPr>
        <w:t>，及时回应社会关切，</w:t>
      </w:r>
      <w:r>
        <w:rPr>
          <w:rFonts w:hint="eastAsia" w:ascii="宋体" w:hAnsi="宋体" w:eastAsia="仿宋_GB2312"/>
          <w:b/>
          <w:color w:val="000000" w:themeColor="text1"/>
          <w:sz w:val="32"/>
          <w:lang w:val="en-US" w:eastAsia="zh-CN"/>
          <w14:textFill>
            <w14:solidFill>
              <w14:schemeClr w14:val="tx1"/>
            </w14:solidFill>
          </w14:textFill>
        </w:rPr>
        <w:t>不断提升</w:t>
      </w:r>
      <w:r>
        <w:rPr>
          <w:rFonts w:hint="eastAsia" w:ascii="宋体" w:hAnsi="宋体" w:eastAsia="仿宋_GB2312"/>
          <w:b/>
          <w:color w:val="000000" w:themeColor="text1"/>
          <w:sz w:val="32"/>
          <w14:textFill>
            <w14:solidFill>
              <w14:schemeClr w14:val="tx1"/>
            </w14:solidFill>
          </w14:textFill>
        </w:rPr>
        <w:t>政府公信力</w:t>
      </w:r>
      <w:r>
        <w:rPr>
          <w:rFonts w:hint="eastAsia" w:ascii="宋体" w:hAnsi="宋体" w:eastAsia="仿宋_GB2312"/>
          <w:b/>
          <w:color w:val="000000" w:themeColor="text1"/>
          <w:sz w:val="32"/>
          <w:szCs w:val="32"/>
          <w:u w:val="none"/>
          <w:lang w:val="en-US" w:eastAsia="zh-CN"/>
          <w14:textFill>
            <w14:solidFill>
              <w14:schemeClr w14:val="tx1"/>
            </w14:solidFill>
          </w14:textFill>
        </w:rPr>
        <w:t>。</w:t>
      </w:r>
    </w:p>
    <w:p w14:paraId="368BAC32">
      <w:pPr>
        <w:keepNext w:val="0"/>
        <w:keepLines w:val="0"/>
        <w:pageBreakBefore w:val="0"/>
        <w:widowControl w:val="0"/>
        <w:tabs>
          <w:tab w:val="left" w:pos="651"/>
        </w:tabs>
        <w:kinsoku/>
        <w:wordWrap/>
        <w:overflowPunct w:val="0"/>
        <w:topLinePunct w:val="0"/>
        <w:autoSpaceDE/>
        <w:autoSpaceDN/>
        <w:bidi w:val="0"/>
        <w:snapToGrid w:val="0"/>
        <w:spacing w:line="616" w:lineRule="exact"/>
        <w:ind w:left="0" w:leftChars="0" w:firstLine="632" w:firstLineChars="200"/>
        <w:textAlignment w:val="auto"/>
        <w:rPr>
          <w:rFonts w:hint="default"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z w:val="32"/>
          <w:szCs w:val="32"/>
          <w:u w:val="none"/>
          <w:lang w:val="en-US" w:eastAsia="zh-CN"/>
          <w14:textFill>
            <w14:solidFill>
              <w14:schemeClr w14:val="tx1"/>
            </w14:solidFill>
          </w14:textFill>
        </w:rPr>
        <w:t>以实干增效，勇于担当作为。</w:t>
      </w:r>
      <w:r>
        <w:rPr>
          <w:rFonts w:hint="eastAsia" w:ascii="宋体" w:hAnsi="宋体" w:eastAsia="仿宋_GB2312"/>
          <w:b/>
          <w:color w:val="000000" w:themeColor="text1"/>
          <w:sz w:val="32"/>
          <w:szCs w:val="32"/>
          <w:u w:val="none"/>
          <w:lang w:val="en-US" w:eastAsia="zh-CN"/>
          <w14:textFill>
            <w14:solidFill>
              <w14:schemeClr w14:val="tx1"/>
            </w14:solidFill>
          </w14:textFill>
        </w:rPr>
        <w:t>牢固树立和践行正确政绩观，全力办好打基础、利长远的实事要事。强化执行落实，持续推进政府系统干部队伍作风能力建设，当好高质量发展的执行者、行动派、实干家。紧盯群众身边“急难愁盼”，持续提升民生诉求响应速度和办理效率。常态化推进政府系统建章立制工作，推动政府工作规范化、精细化、高效化。</w:t>
      </w:r>
    </w:p>
    <w:p w14:paraId="2F2E09AF">
      <w:pPr>
        <w:keepNext w:val="0"/>
        <w:keepLines w:val="0"/>
        <w:pageBreakBefore w:val="0"/>
        <w:widowControl w:val="0"/>
        <w:tabs>
          <w:tab w:val="left" w:pos="651"/>
        </w:tabs>
        <w:kinsoku/>
        <w:wordWrap/>
        <w:overflowPunct w:val="0"/>
        <w:topLinePunct w:val="0"/>
        <w:autoSpaceDE/>
        <w:autoSpaceDN/>
        <w:bidi w:val="0"/>
        <w:snapToGrid w:val="0"/>
        <w:spacing w:line="616" w:lineRule="exact"/>
        <w:ind w:left="0" w:leftChars="0" w:firstLine="608" w:firstLineChars="200"/>
        <w:textAlignment w:val="auto"/>
        <w:rPr>
          <w:rFonts w:hint="eastAsia"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color w:val="000000" w:themeColor="text1"/>
          <w:spacing w:val="-6"/>
          <w:sz w:val="32"/>
          <w:szCs w:val="32"/>
          <w:u w:val="none"/>
          <w:lang w:val="en-US" w:eastAsia="zh-CN"/>
          <w14:textFill>
            <w14:solidFill>
              <w14:schemeClr w14:val="tx1"/>
            </w14:solidFill>
          </w14:textFill>
        </w:rPr>
        <w:t>以清廉固本，筑牢廉洁防线。</w:t>
      </w:r>
      <w:r>
        <w:rPr>
          <w:rFonts w:hint="eastAsia" w:ascii="宋体" w:hAnsi="宋体" w:eastAsia="仿宋_GB2312"/>
          <w:b/>
          <w:color w:val="000000" w:themeColor="text1"/>
          <w:spacing w:val="-6"/>
          <w:sz w:val="32"/>
          <w:szCs w:val="32"/>
          <w:u w:val="none"/>
          <w:lang w:val="en-US" w:eastAsia="zh-CN"/>
          <w14:textFill>
            <w14:solidFill>
              <w14:schemeClr w14:val="tx1"/>
            </w14:solidFill>
          </w14:textFill>
        </w:rPr>
        <w:t>认真履行全面从严治党主体责任，</w:t>
      </w:r>
      <w:r>
        <w:rPr>
          <w:rFonts w:hint="eastAsia" w:ascii="宋体" w:hAnsi="宋体" w:eastAsia="仿宋_GB2312"/>
          <w:b/>
          <w:color w:val="000000" w:themeColor="text1"/>
          <w:sz w:val="32"/>
          <w:szCs w:val="32"/>
          <w:u w:val="none"/>
          <w:lang w:val="en-US" w:eastAsia="zh-CN"/>
          <w14:textFill>
            <w14:solidFill>
              <w14:schemeClr w14:val="tx1"/>
            </w14:solidFill>
          </w14:textFill>
        </w:rPr>
        <w:t>严格落实中央八项规定及其实施细则精神，持续深化整治群众身边不正之风和腐败问题，扎实推进政府系统党风廉政建设。坚持政府过紧日子，进一步压减“三公”经费和一般性支出。强化对权力运行的监督制约，突出抓好公共资金、国有资产、国有企业等重点领域的廉政风险防控，始终做到为民、务实、清廉。</w:t>
      </w:r>
    </w:p>
    <w:p w14:paraId="69F95D53">
      <w:pPr>
        <w:keepNext w:val="0"/>
        <w:keepLines w:val="0"/>
        <w:pageBreakBefore w:val="0"/>
        <w:widowControl w:val="0"/>
        <w:tabs>
          <w:tab w:val="left" w:pos="651"/>
        </w:tabs>
        <w:kinsoku/>
        <w:wordWrap/>
        <w:overflowPunct w:val="0"/>
        <w:topLinePunct w:val="0"/>
        <w:autoSpaceDE/>
        <w:autoSpaceDN/>
        <w:bidi w:val="0"/>
        <w:snapToGrid w:val="0"/>
        <w:spacing w:line="616" w:lineRule="exact"/>
        <w:ind w:left="0" w:leftChars="0" w:firstLine="632" w:firstLineChars="200"/>
        <w:textAlignment w:val="auto"/>
        <w:rPr>
          <w:rFonts w:hint="default" w:ascii="宋体" w:hAnsi="宋体" w:eastAsia="仿宋_GB2312"/>
          <w:b/>
          <w:color w:val="000000" w:themeColor="text1"/>
          <w:sz w:val="32"/>
          <w:szCs w:val="32"/>
          <w:u w:val="none"/>
          <w:lang w:val="en-US" w:eastAsia="zh-CN"/>
          <w14:textFill>
            <w14:solidFill>
              <w14:schemeClr w14:val="tx1"/>
            </w14:solidFill>
          </w14:textFill>
        </w:rPr>
      </w:pPr>
      <w:r>
        <w:rPr>
          <w:rFonts w:hint="eastAsia" w:ascii="宋体" w:hAnsi="宋体" w:eastAsia="仿宋_GB2312"/>
          <w:b/>
          <w:color w:val="000000" w:themeColor="text1"/>
          <w:sz w:val="32"/>
          <w:szCs w:val="32"/>
          <w:u w:val="none"/>
          <w:lang w:val="en-US" w:eastAsia="zh-CN"/>
          <w14:textFill>
            <w14:solidFill>
              <w14:schemeClr w14:val="tx1"/>
            </w14:solidFill>
          </w14:textFill>
        </w:rPr>
        <w:t>各位代表，时序更替启新程，华章日新再出发。让我们更加紧密地团结在以习近平同志为核心的党中央周围，在市委、市政府和区委的坚强领导下，紧紧依靠全区人民，以立春为序，踔厉奋发、笃行不怠，锐意进取、奋勇争先，全力推动“十五五”开好局、起好步，为建设现代化高品质美丽钢城而不懈奋斗！</w:t>
      </w:r>
    </w:p>
    <w:sectPr>
      <w:headerReference r:id="rId3" w:type="first"/>
      <w:footerReference r:id="rId6" w:type="first"/>
      <w:footerReference r:id="rId4" w:type="default"/>
      <w:footerReference r:id="rId5" w:type="even"/>
      <w:pgSz w:w="11906" w:h="16838"/>
      <w:pgMar w:top="1531" w:right="1531" w:bottom="1531" w:left="1531" w:header="851" w:footer="992" w:gutter="0"/>
      <w:pgNumType w:fmt="decimal"/>
      <w:cols w:space="0" w:num="1"/>
      <w:titlePg/>
      <w:rtlGutter w:val="0"/>
      <w:docGrid w:type="linesAndChars" w:linePitch="62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8FB9C7-87EE-470B-A3B3-6623ED98AC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A345FA55-FA70-4BE9-8483-C1F8BB859952}"/>
  </w:font>
  <w:font w:name="方正小标宋简体">
    <w:panose1 w:val="03000509000000000000"/>
    <w:charset w:val="86"/>
    <w:family w:val="auto"/>
    <w:pitch w:val="default"/>
    <w:sig w:usb0="00000001" w:usb1="080E0000" w:usb2="00000000" w:usb3="00000000" w:csb0="00040000" w:csb1="00000000"/>
    <w:embedRegular r:id="rId3" w:fontKey="{10DEC33D-B333-4776-88F6-A7AE099B75FD}"/>
  </w:font>
  <w:font w:name="方正楷体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embedRegular r:id="rId4" w:fontKey="{93B84F07-B868-4700-9DA9-28CE73EBC139}"/>
  </w:font>
  <w:font w:name="楷体_GB2312">
    <w:panose1 w:val="02010609030101010101"/>
    <w:charset w:val="86"/>
    <w:family w:val="auto"/>
    <w:pitch w:val="default"/>
    <w:sig w:usb0="00000001" w:usb1="080E0000" w:usb2="00000000" w:usb3="00000000" w:csb0="00040000" w:csb1="00000000"/>
    <w:embedRegular r:id="rId5" w:fontKey="{6B14D3EA-EA2F-4A86-9FE8-C7ABC22AB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5E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C3583">
                          <w:pPr>
                            <w:pStyle w:val="6"/>
                            <w:keepNext w:val="0"/>
                            <w:keepLines w:val="0"/>
                            <w:pageBreakBefore w:val="0"/>
                            <w:widowControl w:val="0"/>
                            <w:kinsoku/>
                            <w:wordWrap/>
                            <w:overflowPunct/>
                            <w:topLinePunct w:val="0"/>
                            <w:bidi w:val="0"/>
                            <w:adjustRightInd/>
                            <w:snapToGrid w:val="0"/>
                            <w:ind w:left="320" w:leftChars="100" w:right="32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C3583">
                    <w:pPr>
                      <w:pStyle w:val="6"/>
                      <w:keepNext w:val="0"/>
                      <w:keepLines w:val="0"/>
                      <w:pageBreakBefore w:val="0"/>
                      <w:widowControl w:val="0"/>
                      <w:kinsoku/>
                      <w:wordWrap/>
                      <w:overflowPunct/>
                      <w:topLinePunct w:val="0"/>
                      <w:bidi w:val="0"/>
                      <w:adjustRightInd/>
                      <w:snapToGrid w:val="0"/>
                      <w:ind w:left="320" w:leftChars="100" w:right="32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25DB">
    <w:pPr>
      <w:pStyle w:val="6"/>
      <w:framePr w:wrap="around" w:vAnchor="text" w:hAnchor="margin" w:xAlign="center" w:y="1"/>
      <w:rPr>
        <w:rStyle w:val="13"/>
      </w:rPr>
    </w:pPr>
    <w:r>
      <w:fldChar w:fldCharType="begin"/>
    </w:r>
    <w:r>
      <w:rPr>
        <w:rStyle w:val="13"/>
      </w:rPr>
      <w:instrText xml:space="preserve">PAGE  </w:instrText>
    </w:r>
    <w:r>
      <w:fldChar w:fldCharType="end"/>
    </w:r>
  </w:p>
  <w:p w14:paraId="0FBACB2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1BA4">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9E478">
                          <w:pPr>
                            <w:pStyle w:val="6"/>
                            <w:keepNext w:val="0"/>
                            <w:keepLines w:val="0"/>
                            <w:pageBreakBefore w:val="0"/>
                            <w:widowControl w:val="0"/>
                            <w:kinsoku/>
                            <w:wordWrap/>
                            <w:overflowPunct/>
                            <w:topLinePunct w:val="0"/>
                            <w:bidi w:val="0"/>
                            <w:adjustRightInd/>
                            <w:snapToGrid w:val="0"/>
                            <w:ind w:right="320" w:rightChars="10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79E478">
                    <w:pPr>
                      <w:pStyle w:val="6"/>
                      <w:keepNext w:val="0"/>
                      <w:keepLines w:val="0"/>
                      <w:pageBreakBefore w:val="0"/>
                      <w:widowControl w:val="0"/>
                      <w:kinsoku/>
                      <w:wordWrap/>
                      <w:overflowPunct/>
                      <w:topLinePunct w:val="0"/>
                      <w:bidi w:val="0"/>
                      <w:adjustRightInd/>
                      <w:snapToGrid w:val="0"/>
                      <w:ind w:right="320" w:rightChars="10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A1C7DB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4C94">
    <w:pPr>
      <w:spacing w:line="280" w:lineRule="exact"/>
      <w:rPr>
        <w:rFonts w:ascii="黑体" w:eastAsia="黑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31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8472D"/>
    <w:rsid w:val="00003CFB"/>
    <w:rsid w:val="000062A9"/>
    <w:rsid w:val="00024DBD"/>
    <w:rsid w:val="00070617"/>
    <w:rsid w:val="000D1123"/>
    <w:rsid w:val="001667B2"/>
    <w:rsid w:val="00187745"/>
    <w:rsid w:val="00197B0F"/>
    <w:rsid w:val="001A4BE4"/>
    <w:rsid w:val="001D44D6"/>
    <w:rsid w:val="00203575"/>
    <w:rsid w:val="00232A68"/>
    <w:rsid w:val="00232CFC"/>
    <w:rsid w:val="002472BF"/>
    <w:rsid w:val="00250A7E"/>
    <w:rsid w:val="0026785A"/>
    <w:rsid w:val="002700C1"/>
    <w:rsid w:val="00272EED"/>
    <w:rsid w:val="003075D0"/>
    <w:rsid w:val="003234DA"/>
    <w:rsid w:val="00326712"/>
    <w:rsid w:val="003502A0"/>
    <w:rsid w:val="003769AA"/>
    <w:rsid w:val="003B7B8B"/>
    <w:rsid w:val="003C1809"/>
    <w:rsid w:val="003F4CE1"/>
    <w:rsid w:val="003F6736"/>
    <w:rsid w:val="00407419"/>
    <w:rsid w:val="004375DA"/>
    <w:rsid w:val="00456E4A"/>
    <w:rsid w:val="00594DC2"/>
    <w:rsid w:val="005A78BA"/>
    <w:rsid w:val="005C78DE"/>
    <w:rsid w:val="005D7C8C"/>
    <w:rsid w:val="005F689F"/>
    <w:rsid w:val="00612BEC"/>
    <w:rsid w:val="00634BC9"/>
    <w:rsid w:val="00686B23"/>
    <w:rsid w:val="006A5C24"/>
    <w:rsid w:val="006A749F"/>
    <w:rsid w:val="006B175C"/>
    <w:rsid w:val="006D3846"/>
    <w:rsid w:val="006E2C5A"/>
    <w:rsid w:val="006F45A5"/>
    <w:rsid w:val="0070563C"/>
    <w:rsid w:val="007127BB"/>
    <w:rsid w:val="00764ACE"/>
    <w:rsid w:val="007A22E7"/>
    <w:rsid w:val="007B0DF9"/>
    <w:rsid w:val="007C4FF2"/>
    <w:rsid w:val="007D2526"/>
    <w:rsid w:val="007D51C6"/>
    <w:rsid w:val="00805F25"/>
    <w:rsid w:val="00815BC9"/>
    <w:rsid w:val="00847C20"/>
    <w:rsid w:val="008B7521"/>
    <w:rsid w:val="008F3781"/>
    <w:rsid w:val="0091294B"/>
    <w:rsid w:val="00951BED"/>
    <w:rsid w:val="00991F3C"/>
    <w:rsid w:val="00A06843"/>
    <w:rsid w:val="00A24D8E"/>
    <w:rsid w:val="00A31533"/>
    <w:rsid w:val="00AD7772"/>
    <w:rsid w:val="00B077A5"/>
    <w:rsid w:val="00B311A0"/>
    <w:rsid w:val="00B46EA9"/>
    <w:rsid w:val="00BD5A32"/>
    <w:rsid w:val="00C048EB"/>
    <w:rsid w:val="00C45AAB"/>
    <w:rsid w:val="00C76460"/>
    <w:rsid w:val="00CA00FD"/>
    <w:rsid w:val="00CF1A20"/>
    <w:rsid w:val="00CF2CA4"/>
    <w:rsid w:val="00CF5D3E"/>
    <w:rsid w:val="00D11BD7"/>
    <w:rsid w:val="00D23BFF"/>
    <w:rsid w:val="00D455C6"/>
    <w:rsid w:val="00D5100E"/>
    <w:rsid w:val="00D70348"/>
    <w:rsid w:val="00DA5A73"/>
    <w:rsid w:val="00DC1E08"/>
    <w:rsid w:val="00DC7A03"/>
    <w:rsid w:val="00DE5F20"/>
    <w:rsid w:val="00DF3782"/>
    <w:rsid w:val="00E513BD"/>
    <w:rsid w:val="00E53844"/>
    <w:rsid w:val="00F43D0E"/>
    <w:rsid w:val="00FC2E59"/>
    <w:rsid w:val="012E3C53"/>
    <w:rsid w:val="01C31560"/>
    <w:rsid w:val="02017E14"/>
    <w:rsid w:val="02E25280"/>
    <w:rsid w:val="0337738D"/>
    <w:rsid w:val="037B6ACF"/>
    <w:rsid w:val="0515537D"/>
    <w:rsid w:val="057F6676"/>
    <w:rsid w:val="0605216C"/>
    <w:rsid w:val="06E17D3B"/>
    <w:rsid w:val="06E4782C"/>
    <w:rsid w:val="074F5A1D"/>
    <w:rsid w:val="07AB06C9"/>
    <w:rsid w:val="07D224E1"/>
    <w:rsid w:val="07D72EEC"/>
    <w:rsid w:val="08020EC6"/>
    <w:rsid w:val="08A823DF"/>
    <w:rsid w:val="092E2FE0"/>
    <w:rsid w:val="0DBF4B4E"/>
    <w:rsid w:val="0E4F198B"/>
    <w:rsid w:val="0EAF4BC3"/>
    <w:rsid w:val="0F5C08A7"/>
    <w:rsid w:val="103D4B3D"/>
    <w:rsid w:val="104B4073"/>
    <w:rsid w:val="11B26B99"/>
    <w:rsid w:val="126E1DF1"/>
    <w:rsid w:val="12745F08"/>
    <w:rsid w:val="12A37A11"/>
    <w:rsid w:val="12DE1740"/>
    <w:rsid w:val="12F16DC0"/>
    <w:rsid w:val="130F79DE"/>
    <w:rsid w:val="13530945"/>
    <w:rsid w:val="13A85F44"/>
    <w:rsid w:val="148F7029"/>
    <w:rsid w:val="14EA24B1"/>
    <w:rsid w:val="15B16DD2"/>
    <w:rsid w:val="16BA3E65"/>
    <w:rsid w:val="179B3F36"/>
    <w:rsid w:val="188609F1"/>
    <w:rsid w:val="1933462F"/>
    <w:rsid w:val="1A230697"/>
    <w:rsid w:val="1A7016AA"/>
    <w:rsid w:val="1A9D79D5"/>
    <w:rsid w:val="1AF2106E"/>
    <w:rsid w:val="1C6A3A9D"/>
    <w:rsid w:val="1CDC1A13"/>
    <w:rsid w:val="1DD765EF"/>
    <w:rsid w:val="1DEB232D"/>
    <w:rsid w:val="1E804C88"/>
    <w:rsid w:val="1ED3045A"/>
    <w:rsid w:val="1F153A81"/>
    <w:rsid w:val="1F505606"/>
    <w:rsid w:val="204669D4"/>
    <w:rsid w:val="20940091"/>
    <w:rsid w:val="211B015E"/>
    <w:rsid w:val="21AC0E41"/>
    <w:rsid w:val="21EB1469"/>
    <w:rsid w:val="2467017C"/>
    <w:rsid w:val="24765B0F"/>
    <w:rsid w:val="24B72338"/>
    <w:rsid w:val="24E0742D"/>
    <w:rsid w:val="256242E5"/>
    <w:rsid w:val="25627D5B"/>
    <w:rsid w:val="25851DAD"/>
    <w:rsid w:val="261455E0"/>
    <w:rsid w:val="2650413E"/>
    <w:rsid w:val="26D703BB"/>
    <w:rsid w:val="272D0066"/>
    <w:rsid w:val="27A10195"/>
    <w:rsid w:val="29827633"/>
    <w:rsid w:val="29AE0DEF"/>
    <w:rsid w:val="29DF4B38"/>
    <w:rsid w:val="2A475858"/>
    <w:rsid w:val="2A54490E"/>
    <w:rsid w:val="2A9C2048"/>
    <w:rsid w:val="2BE006E7"/>
    <w:rsid w:val="2C78619D"/>
    <w:rsid w:val="2D0B7011"/>
    <w:rsid w:val="2E1F28B7"/>
    <w:rsid w:val="31CA1CEB"/>
    <w:rsid w:val="32A221C5"/>
    <w:rsid w:val="351078BA"/>
    <w:rsid w:val="36164590"/>
    <w:rsid w:val="3630291D"/>
    <w:rsid w:val="36657792"/>
    <w:rsid w:val="36E60C71"/>
    <w:rsid w:val="37163A33"/>
    <w:rsid w:val="377C1237"/>
    <w:rsid w:val="38607AD6"/>
    <w:rsid w:val="387B632B"/>
    <w:rsid w:val="39511E95"/>
    <w:rsid w:val="39675F62"/>
    <w:rsid w:val="396B1563"/>
    <w:rsid w:val="3B190B4B"/>
    <w:rsid w:val="3B373612"/>
    <w:rsid w:val="3D3B124C"/>
    <w:rsid w:val="3DE10046"/>
    <w:rsid w:val="3E1F0790"/>
    <w:rsid w:val="3E541F80"/>
    <w:rsid w:val="3EEB41A8"/>
    <w:rsid w:val="3FE04945"/>
    <w:rsid w:val="40E207B7"/>
    <w:rsid w:val="410C0680"/>
    <w:rsid w:val="42014C57"/>
    <w:rsid w:val="426479D7"/>
    <w:rsid w:val="42BF46CD"/>
    <w:rsid w:val="43104F29"/>
    <w:rsid w:val="43A94601"/>
    <w:rsid w:val="43B81849"/>
    <w:rsid w:val="44DF058E"/>
    <w:rsid w:val="45004F62"/>
    <w:rsid w:val="47543636"/>
    <w:rsid w:val="49100397"/>
    <w:rsid w:val="49351245"/>
    <w:rsid w:val="4950607F"/>
    <w:rsid w:val="49FC2B5B"/>
    <w:rsid w:val="4AB82514"/>
    <w:rsid w:val="4B05696D"/>
    <w:rsid w:val="4B19711F"/>
    <w:rsid w:val="4B441C14"/>
    <w:rsid w:val="4B7852D3"/>
    <w:rsid w:val="4B99347A"/>
    <w:rsid w:val="4BEF2C6C"/>
    <w:rsid w:val="4C0402E3"/>
    <w:rsid w:val="4C5D773F"/>
    <w:rsid w:val="4E3621D3"/>
    <w:rsid w:val="4E4C1E6E"/>
    <w:rsid w:val="4E6275A4"/>
    <w:rsid w:val="4E881E17"/>
    <w:rsid w:val="4ED510E6"/>
    <w:rsid w:val="4F3B50DC"/>
    <w:rsid w:val="4FEE0289"/>
    <w:rsid w:val="508131CA"/>
    <w:rsid w:val="51BC1601"/>
    <w:rsid w:val="53085EBD"/>
    <w:rsid w:val="535903ED"/>
    <w:rsid w:val="537D5CC3"/>
    <w:rsid w:val="53C16550"/>
    <w:rsid w:val="54065CB8"/>
    <w:rsid w:val="54A66DEA"/>
    <w:rsid w:val="552C5BF2"/>
    <w:rsid w:val="5559517A"/>
    <w:rsid w:val="5586537D"/>
    <w:rsid w:val="5628069D"/>
    <w:rsid w:val="56352885"/>
    <w:rsid w:val="57C049B1"/>
    <w:rsid w:val="590F3E1A"/>
    <w:rsid w:val="59B71A84"/>
    <w:rsid w:val="59D8472D"/>
    <w:rsid w:val="5A081CC5"/>
    <w:rsid w:val="5A386DE8"/>
    <w:rsid w:val="5A687760"/>
    <w:rsid w:val="5BCC754A"/>
    <w:rsid w:val="5C6F056E"/>
    <w:rsid w:val="5D267018"/>
    <w:rsid w:val="5DBA7B13"/>
    <w:rsid w:val="5DD47BB3"/>
    <w:rsid w:val="5EF01A3F"/>
    <w:rsid w:val="5F0604EF"/>
    <w:rsid w:val="5F906D7E"/>
    <w:rsid w:val="622D5437"/>
    <w:rsid w:val="643B43E5"/>
    <w:rsid w:val="64BB440C"/>
    <w:rsid w:val="64C21022"/>
    <w:rsid w:val="65B55790"/>
    <w:rsid w:val="66E8749F"/>
    <w:rsid w:val="67D5211A"/>
    <w:rsid w:val="680613B6"/>
    <w:rsid w:val="680A6F35"/>
    <w:rsid w:val="68401624"/>
    <w:rsid w:val="687F09C8"/>
    <w:rsid w:val="695A5DE1"/>
    <w:rsid w:val="69FF28AF"/>
    <w:rsid w:val="6B6251AF"/>
    <w:rsid w:val="6B6D0959"/>
    <w:rsid w:val="6D8F6EF9"/>
    <w:rsid w:val="6E255143"/>
    <w:rsid w:val="6E657628"/>
    <w:rsid w:val="6E8E6B2F"/>
    <w:rsid w:val="6F59718C"/>
    <w:rsid w:val="7023779A"/>
    <w:rsid w:val="70897BFE"/>
    <w:rsid w:val="720A29C0"/>
    <w:rsid w:val="740B2A1F"/>
    <w:rsid w:val="740C1080"/>
    <w:rsid w:val="753A7C72"/>
    <w:rsid w:val="7564688B"/>
    <w:rsid w:val="75773CB9"/>
    <w:rsid w:val="75FE45EA"/>
    <w:rsid w:val="761107C1"/>
    <w:rsid w:val="762657D1"/>
    <w:rsid w:val="765406AD"/>
    <w:rsid w:val="76AE2E39"/>
    <w:rsid w:val="77B875B5"/>
    <w:rsid w:val="77E13CA6"/>
    <w:rsid w:val="78210A63"/>
    <w:rsid w:val="78434E7D"/>
    <w:rsid w:val="79073F02"/>
    <w:rsid w:val="790C68EA"/>
    <w:rsid w:val="799F4335"/>
    <w:rsid w:val="79DC559C"/>
    <w:rsid w:val="7A8B00F9"/>
    <w:rsid w:val="7AE023ED"/>
    <w:rsid w:val="7BEF2F05"/>
    <w:rsid w:val="7D2C5EE0"/>
    <w:rsid w:val="7D6559DF"/>
    <w:rsid w:val="7EF772C5"/>
    <w:rsid w:val="7FC250AB"/>
    <w:rsid w:val="CBFBD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paragraph" w:styleId="2">
    <w:name w:val="heading 2"/>
    <w:basedOn w:val="1"/>
    <w:next w:val="1"/>
    <w:qFormat/>
    <w:uiPriority w:val="99"/>
    <w:pPr>
      <w:overflowPunct w:val="0"/>
      <w:spacing w:line="616" w:lineRule="exact"/>
      <w:ind w:firstLine="643" w:firstLineChars="200"/>
      <w:outlineLvl w:val="1"/>
    </w:pPr>
    <w:rPr>
      <w:rFonts w:ascii="黑体" w:hAnsi="黑体" w:eastAsia="黑体"/>
      <w:b/>
      <w:color w:val="000000"/>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1"/>
    </w:rPr>
  </w:style>
  <w:style w:type="paragraph" w:styleId="9">
    <w:name w:val="Body Text First Indent 2"/>
    <w:basedOn w:val="5"/>
    <w:qFormat/>
    <w:uiPriority w:val="0"/>
    <w:pPr>
      <w:ind w:firstLine="420" w:firstLineChars="200"/>
    </w:pPr>
  </w:style>
  <w:style w:type="character" w:styleId="12">
    <w:name w:val="Strong"/>
    <w:basedOn w:val="11"/>
    <w:qFormat/>
    <w:uiPriority w:val="99"/>
    <w:rPr>
      <w:b/>
      <w:color w:val="666666"/>
    </w:rPr>
  </w:style>
  <w:style w:type="character" w:styleId="13">
    <w:name w:val="page number"/>
    <w:basedOn w:val="11"/>
    <w:qFormat/>
    <w:uiPriority w:val="0"/>
  </w:style>
  <w:style w:type="character" w:customStyle="1" w:styleId="14">
    <w:name w:val="页眉 Char"/>
    <w:basedOn w:val="11"/>
    <w:link w:val="7"/>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25ea30b9-a0a3-40a6-a870-a24e13932a4d</errorID>
      <errorWord>规则</errorWord>
      <group>L1_Grammar</group>
      <groupName>语法问题</groupName>
      <ability>L2_Grammar</ability>
      <abilityName>语法错误</abilityName>
      <candidateList>
        <item>规定</item>
      </candidateList>
      <explain>“执行～规则”搭配不当，建议修改为“执行～规定”。</explain>
      <paraID>6395433C</paraID>
      <start>81</start>
      <end>83</end>
      <status>unmodified</status>
      <modifiedWord/>
      <trackRevisions>false</trackRevisions>
    </reviewItem>
    <reviewItem>
      <errorID>75eb6105-fb7c-4dee-b1b0-2754934244b7</errorID>
      <errorWord>打好蓝天保卫战</errorWord>
      <group>L1_Word</group>
      <groupName>字词问题</groupName>
      <ability>L2_Typo</ability>
      <abilityName>字词错误</abilityName>
      <candidateList>
        <item>打赢蓝天保卫战</item>
      </candidateList>
      <explain/>
      <paraID>3BB0C316</paraID>
      <start>67</start>
      <end>74</end>
      <status>unmodified</status>
      <modifiedWord/>
      <trackRevisions>false</trackRevisions>
    </reviewItem>
    <reviewItem>
      <errorID>28e62d49-731e-4811-a675-4388b8b36397</errorID>
      <errorWord>经济实力、科技实力、综合竞争力</errorWord>
      <group>L1_Political</group>
      <groupName>政治性问题</groupName>
      <ability>L2_Keyword</ability>
      <abilityName>固定表述</abilityName>
      <candidateList>
        <item>经济实力、科技实力、综合国力</item>
      </candidateList>
      <explain>词汇“经济实力、科技实力、综合国力”在特定场景下为固定表述形式，请确认此处的“经济实力、科技实力、综合竞争力”是否存在不当。</explain>
      <paraID>4312587B</paraID>
      <start>21</start>
      <end>36</end>
      <status>unmodified</status>
      <modifiedWord/>
      <trackRevisions>false</trackRevisions>
    </reviewItem>
    <reviewItem>
      <errorID>e7fef880-0c78-4745-9d35-bef5323d5bb9</errorID>
      <errorWord>-</errorWord>
      <group>L1_Format</group>
      <groupName>格式问题</groupName>
      <ability>L2_HalfPunc</ability>
      <abilityName>全半角检查</abilityName>
      <candidateList>
        <item>－</item>
      </candidateList>
      <explain>文本全半角错误。</explain>
      <paraID>107D833F</paraID>
      <start>85</start>
      <end>86</end>
      <status>unmodified</status>
      <modifiedWord/>
      <trackRevisions>false</trackRevisions>
    </reviewItem>
    <reviewItem>
      <errorID>e0269abc-c746-416f-a68e-a64e944eed5a</errorID>
      <errorWord>-</errorWord>
      <group>L1_Format</group>
      <groupName>格式问题</groupName>
      <ability>L2_HalfPunc</ability>
      <abilityName>全半角检查</abilityName>
      <candidateList>
        <item>－</item>
      </candidateList>
      <explain>文本全半角错误。</explain>
      <paraID>107D833F</paraID>
      <start>88</start>
      <end>89</end>
      <status>unmodified</status>
      <modifiedWord/>
      <trackRevisions>false</trackRevisions>
    </reviewItem>
    <reviewItem>
      <errorID>bfa778a4-23e9-4a46-9b8b-e262342de22d</errorID>
      <errorWord>-</errorWord>
      <group>L1_Format</group>
      <groupName>格式问题</groupName>
      <ability>L2_HalfPunc</ability>
      <abilityName>全半角检查</abilityName>
      <candidateList>
        <item>－</item>
      </candidateList>
      <explain>文本全半角错误。</explain>
      <paraID>107D833F</paraID>
      <start>91</start>
      <end>92</end>
      <status>unmodified</status>
      <modifiedWord/>
      <trackRevisions>false</trackRevisions>
    </reviewItem>
    <reviewItem>
      <errorID>261706cf-c940-41da-8bd7-64145c9942db</errorID>
      <errorWord>-</errorWord>
      <group>L1_Format</group>
      <groupName>格式问题</groupName>
      <ability>L2_HalfPunc</ability>
      <abilityName>全半角检查</abilityName>
      <candidateList>
        <item>－</item>
      </candidateList>
      <explain>文本全半角错误。</explain>
      <paraID>107D833F</paraID>
      <start>94</start>
      <end>95</end>
      <status>unmodified</status>
      <modifiedWord/>
      <trackRevisions>false</trackRevisions>
    </reviewItem>
    <reviewItem>
      <errorID>10fdfa1e-1cc9-483d-9a40-44c74d8fc911</errorID>
      <errorWord>钢宝</errorWord>
      <group>L1_Word</group>
      <groupName>字词问题</groupName>
      <ability>L2_Typo</ability>
      <abilityName>字词错误</abilityName>
      <candidateList>
        <item>宝钢</item>
      </candidateList>
      <explain/>
      <paraID> CBBED96</paraID>
      <start>52</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264a7-c8ff-4d0a-a085-cae80b606b6f}">
  <ds:schemaRefs/>
</ds:datastoreItem>
</file>

<file path=docProps/app.xml><?xml version="1.0" encoding="utf-8"?>
<Properties xmlns="http://schemas.openxmlformats.org/officeDocument/2006/extended-properties" xmlns:vt="http://schemas.openxmlformats.org/officeDocument/2006/docPropsVTypes">
  <Template>Normal</Template>
  <Pages>27</Pages>
  <Words>14802</Words>
  <Characters>15324</Characters>
  <Lines>13</Lines>
  <Paragraphs>3</Paragraphs>
  <TotalTime>28</TotalTime>
  <ScaleCrop>false</ScaleCrop>
  <LinksUpToDate>false</LinksUpToDate>
  <CharactersWithSpaces>15331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2026-01-10T17:01:00Z</dcterms:created>
  <dc:creator>WPS_1689925984</dc:creator>
  <cp:lastModifiedBy>珍奇果果</cp:lastModifiedBy>
  <cp:lastPrinted>2026-03-06T03:13:53Z</cp:lastPrinted>
  <dcterms:modified xsi:type="dcterms:W3CDTF">2026-03-06T03:14:05Z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827B6705B8DD4BF6A75331688994FE4D_13</vt:lpwstr>
  </property>
  <property fmtid="{D5CDD505-2E9C-101B-9397-08002B2CF9AE}" pid="4" name="KSOTemplateDocerSaveRecord">
    <vt:lpwstr>eyJoZGlkIjoiOTRkNDgxY2Y3MTc2MzI3ZWVjMDY4MzkzZGJmODk1NjAiLCJ1c2VySWQiOiIzMjk0Mjc3NTQifQ==</vt:lpwstr>
  </property>
</Properties>
</file>