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804E2">
      <w:pPr>
        <w:overflowPunct w:val="0"/>
        <w:spacing w:line="240" w:lineRule="exact"/>
        <w:jc w:val="center"/>
        <w:rPr>
          <w:rFonts w:ascii="新宋体" w:hAnsi="新宋体" w:eastAsia="仿宋_GB2312"/>
          <w:szCs w:val="32"/>
        </w:rPr>
      </w:pPr>
    </w:p>
    <w:p w14:paraId="49505A65">
      <w:pPr>
        <w:overflowPunct w:val="0"/>
        <w:spacing w:line="240" w:lineRule="exact"/>
        <w:jc w:val="center"/>
        <w:rPr>
          <w:rFonts w:ascii="新宋体" w:hAnsi="新宋体" w:eastAsia="仿宋_GB2312"/>
          <w:szCs w:val="32"/>
        </w:rPr>
      </w:pPr>
    </w:p>
    <w:p w14:paraId="2AA8BE1E">
      <w:pPr>
        <w:overflowPunct w:val="0"/>
        <w:spacing w:line="240" w:lineRule="exact"/>
        <w:jc w:val="center"/>
        <w:rPr>
          <w:rFonts w:ascii="新宋体" w:hAnsi="新宋体" w:eastAsia="仿宋_GB2312"/>
          <w:szCs w:val="32"/>
        </w:rPr>
      </w:pPr>
    </w:p>
    <w:p w14:paraId="26924E2E">
      <w:pPr>
        <w:overflowPunct w:val="0"/>
        <w:spacing w:line="240" w:lineRule="exact"/>
        <w:jc w:val="center"/>
        <w:rPr>
          <w:rFonts w:ascii="新宋体" w:hAnsi="新宋体" w:eastAsia="仿宋_GB2312"/>
          <w:szCs w:val="32"/>
        </w:rPr>
      </w:pPr>
    </w:p>
    <w:p w14:paraId="55CE06E9">
      <w:pPr>
        <w:overflowPunct w:val="0"/>
        <w:jc w:val="center"/>
        <w:rPr>
          <w:rFonts w:ascii="新宋体" w:hAnsi="新宋体" w:eastAsia="方正小标宋简体" w:cs="方正小标宋简体"/>
          <w:color w:val="FF0000"/>
          <w:w w:val="59"/>
          <w:sz w:val="150"/>
          <w:szCs w:val="150"/>
        </w:rPr>
      </w:pPr>
      <w:r>
        <w:rPr>
          <w:rFonts w:hint="eastAsia" w:ascii="新宋体" w:hAnsi="新宋体" w:eastAsia="方正小标宋简体" w:cs="方正小标宋简体"/>
          <w:color w:val="FF0000"/>
          <w:w w:val="59"/>
          <w:sz w:val="150"/>
          <w:szCs w:val="150"/>
        </w:rPr>
        <w:t>济南市钢城区人民政府</w:t>
      </w:r>
    </w:p>
    <w:p w14:paraId="5BEC0E6E">
      <w:pPr>
        <w:overflowPunct w:val="0"/>
        <w:spacing w:line="616" w:lineRule="exact"/>
        <w:jc w:val="center"/>
        <w:rPr>
          <w:rFonts w:ascii="新宋体" w:hAnsi="新宋体" w:eastAsia="仿宋_GB2312"/>
          <w:w w:val="59"/>
          <w:szCs w:val="32"/>
        </w:rPr>
      </w:pPr>
    </w:p>
    <w:p w14:paraId="09F2807C">
      <w:pPr>
        <w:overflowPunct w:val="0"/>
        <w:spacing w:line="616" w:lineRule="exact"/>
        <w:jc w:val="center"/>
        <w:rPr>
          <w:rFonts w:ascii="新宋体" w:hAnsi="新宋体" w:eastAsia="仿宋_GB2312"/>
          <w:sz w:val="32"/>
          <w:szCs w:val="32"/>
        </w:rPr>
      </w:pPr>
      <w:r>
        <w:rPr>
          <w:rFonts w:hint="eastAsia" w:ascii="新宋体" w:hAnsi="新宋体" w:eastAsia="仿宋_GB2312" w:cs="文星仿宋"/>
          <w:sz w:val="32"/>
          <w:szCs w:val="32"/>
        </w:rPr>
        <w:t>钢城政字〔</w:t>
      </w:r>
      <w:r>
        <w:rPr>
          <w:rFonts w:hint="eastAsia" w:ascii="新宋体" w:hAnsi="新宋体" w:eastAsia="仿宋_GB2312" w:cs="新宋体"/>
          <w:sz w:val="32"/>
          <w:szCs w:val="32"/>
        </w:rPr>
        <w:t>2025</w:t>
      </w:r>
      <w:r>
        <w:rPr>
          <w:rFonts w:hint="eastAsia" w:ascii="新宋体" w:hAnsi="新宋体" w:eastAsia="仿宋_GB2312" w:cs="文星仿宋"/>
          <w:sz w:val="32"/>
          <w:szCs w:val="32"/>
        </w:rPr>
        <w:t>〕</w:t>
      </w:r>
      <w:r>
        <w:rPr>
          <w:rFonts w:ascii="新宋体" w:hAnsi="新宋体" w:eastAsia="仿宋_GB2312" w:cs="文星仿宋"/>
          <w:sz w:val="32"/>
          <w:szCs w:val="32"/>
        </w:rPr>
        <w:t>7</w:t>
      </w:r>
      <w:r>
        <w:rPr>
          <w:rFonts w:hint="eastAsia" w:ascii="新宋体" w:hAnsi="新宋体" w:eastAsia="仿宋_GB2312" w:cs="文星仿宋"/>
          <w:sz w:val="32"/>
          <w:szCs w:val="32"/>
        </w:rPr>
        <w:t>号</w:t>
      </w:r>
    </w:p>
    <w:p w14:paraId="3737C574">
      <w:pPr>
        <w:overflowPunct w:val="0"/>
        <w:spacing w:line="560" w:lineRule="exact"/>
        <w:jc w:val="center"/>
        <w:rPr>
          <w:rFonts w:ascii="新宋体" w:hAnsi="新宋体" w:eastAsia="文星标宋"/>
          <w:szCs w:val="32"/>
        </w:rPr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38100</wp:posOffset>
                </wp:positionV>
                <wp:extent cx="5687695" cy="0"/>
                <wp:effectExtent l="0" t="0" r="2730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3pt;height:0pt;width:447.85pt;mso-position-horizontal:center;z-index:-251657216;mso-width-relative:page;mso-height-relative:page;" filled="f" stroked="t" coordsize="21600,21600" o:gfxdata="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79Qzn1QAAAAQB&#10;AAAPAAAAAAAAAAEAIAAAACIAAABkcnMvZG93bnJldi54bWxQSwECFAAUAAAACACHTuJAQcJNEeUB&#10;AACrAwAADgAAAAAAAAABACAAAAAkAQAAZHJzL2Uyb0RvYy54bWxQSwUGAAAAAAYABgBZAQAAewUA&#10;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719EB3A7">
      <w:pPr>
        <w:overflowPunct w:val="0"/>
        <w:spacing w:line="560" w:lineRule="exact"/>
        <w:jc w:val="center"/>
        <w:rPr>
          <w:rFonts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济南市钢城区人民政府</w:t>
      </w:r>
    </w:p>
    <w:p w14:paraId="6E5D6E6D">
      <w:pPr>
        <w:overflowPunct w:val="0"/>
        <w:spacing w:line="590" w:lineRule="exact"/>
        <w:jc w:val="center"/>
        <w:rPr>
          <w:rFonts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关于</w:t>
      </w:r>
      <w:r>
        <w:rPr>
          <w:rFonts w:hint="eastAsia" w:ascii="宋体" w:hAnsi="宋体" w:eastAsia="方正小标宋简体"/>
          <w:sz w:val="44"/>
          <w:szCs w:val="44"/>
          <w:lang w:eastAsia="zh-CN"/>
        </w:rPr>
        <w:t>开展</w:t>
      </w:r>
      <w:r>
        <w:rPr>
          <w:rFonts w:hint="eastAsia" w:ascii="宋体" w:hAnsi="宋体" w:eastAsia="方正小标宋简体"/>
          <w:sz w:val="44"/>
          <w:szCs w:val="44"/>
        </w:rPr>
        <w:t>第四次全国农业普查的通知</w:t>
      </w:r>
    </w:p>
    <w:p w14:paraId="4FC50742">
      <w:pPr>
        <w:spacing w:line="469" w:lineRule="auto"/>
        <w:rPr>
          <w:lang w:eastAsia="zh-CN"/>
        </w:rPr>
      </w:pPr>
    </w:p>
    <w:p w14:paraId="1E8B3D9B">
      <w:pPr>
        <w:overflowPunct w:val="0"/>
        <w:spacing w:line="590" w:lineRule="exact"/>
        <w:rPr>
          <w:rFonts w:ascii="宋体" w:hAnsi="宋体" w:eastAsia="仿宋_GB2312" w:cs="微软雅黑"/>
          <w:sz w:val="32"/>
          <w:szCs w:val="32"/>
          <w:shd w:val="pct10" w:color="auto" w:fill="FFFFFF"/>
        </w:rPr>
      </w:pPr>
      <w:r>
        <w:rPr>
          <w:rFonts w:hint="eastAsia" w:ascii="宋体" w:hAnsi="宋体" w:eastAsia="仿宋_GB2312"/>
          <w:sz w:val="32"/>
          <w:szCs w:val="32"/>
        </w:rPr>
        <w:t>各街道（功能区）办事处（管委会），区政府各部门，区属各企事业单位：</w:t>
      </w:r>
    </w:p>
    <w:p w14:paraId="5EC68DE4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  <w:t>为深入贯彻落实《国务院关于开展第四次全国农业普查的通知》（国发〔2025〕9号）、《山东省人民政府关于开展第四次全国农业普查的通知》（鲁政字〔2025〕123号）和《济南市人民政府关于开展第四次全国农业普查的通知》（济政字〔2025〕66号）精神，切实摸清我区“三农”发展现状，为推进乡村全面振兴、加快农业农村现代化提供坚实数据支撑，现就做好我区第四次全国农业普查工作有关事项通知如下。</w:t>
      </w:r>
    </w:p>
    <w:p w14:paraId="384791AD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黑体" w:hAnsi="黑体" w:eastAsia="黑体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theme="minorBidi"/>
          <w:snapToGrid/>
          <w:color w:val="auto"/>
          <w:kern w:val="2"/>
          <w:sz w:val="32"/>
          <w:szCs w:val="32"/>
          <w:lang w:eastAsia="zh-CN"/>
        </w:rPr>
        <w:t>一、总体要求</w:t>
      </w:r>
    </w:p>
    <w:p w14:paraId="5ADCC948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  <w:t>以习近平新时代中国特色社会主义思想为指导，深入贯彻党的二十大和二十届历次全会精神，坚持依法普查、科学普查、为民普查，实事求是、守正创新，全面查清新时代我区农业发展新情况、乡村建设新面貌、农民生活新变化、农村改革新成效，为科学制定“三农”政策、建设农业强区提供准确统计信息支撑。</w:t>
      </w:r>
    </w:p>
    <w:p w14:paraId="77FC8E72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黑体" w:hAnsi="黑体" w:eastAsia="黑体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theme="minorBidi"/>
          <w:snapToGrid/>
          <w:color w:val="auto"/>
          <w:kern w:val="2"/>
          <w:sz w:val="32"/>
          <w:szCs w:val="32"/>
          <w:lang w:eastAsia="zh-CN"/>
        </w:rPr>
        <w:t>二、普查对象、范围、内容</w:t>
      </w:r>
    </w:p>
    <w:p w14:paraId="1B4EB944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楷体_GB2312" w:hAnsi="宋体" w:eastAsia="楷体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楷体_GB2312" w:hAnsi="宋体" w:eastAsia="楷体_GB2312" w:cstheme="minorBidi"/>
          <w:snapToGrid/>
          <w:color w:val="auto"/>
          <w:kern w:val="2"/>
          <w:sz w:val="32"/>
          <w:szCs w:val="32"/>
          <w:lang w:eastAsia="zh-CN"/>
        </w:rPr>
        <w:t>（一）普查对象</w:t>
      </w:r>
    </w:p>
    <w:p w14:paraId="5860A1DA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  <w:t>钢城区境内的下列个人和单位：农村住户，包括农村农业生产经营户和其他住户；城镇农业生产经营户；农业生产经营单位；村民委员会；各街道（功能区）办事处（管委会）。</w:t>
      </w:r>
    </w:p>
    <w:p w14:paraId="29E95D02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楷体_GB2312" w:hAnsi="宋体" w:eastAsia="楷体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楷体_GB2312" w:hAnsi="宋体" w:eastAsia="楷体_GB2312" w:cstheme="minorBidi"/>
          <w:snapToGrid/>
          <w:color w:val="auto"/>
          <w:kern w:val="2"/>
          <w:sz w:val="32"/>
          <w:szCs w:val="32"/>
          <w:lang w:eastAsia="zh-CN"/>
        </w:rPr>
        <w:t>（二）普查范围</w:t>
      </w:r>
    </w:p>
    <w:p w14:paraId="4212A5FD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  <w:t>农作物种植业、林业、畜牧业、渔业和农林牧渔服务业。</w:t>
      </w:r>
    </w:p>
    <w:p w14:paraId="179E71BE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楷体_GB2312" w:hAnsi="宋体" w:eastAsia="楷体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楷体_GB2312" w:hAnsi="宋体" w:eastAsia="楷体_GB2312" w:cstheme="minorBidi"/>
          <w:snapToGrid/>
          <w:color w:val="auto"/>
          <w:kern w:val="2"/>
          <w:sz w:val="32"/>
          <w:szCs w:val="32"/>
          <w:lang w:eastAsia="zh-CN"/>
        </w:rPr>
        <w:t>（三）普查内容</w:t>
      </w:r>
    </w:p>
    <w:p w14:paraId="2BD39C74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  <w:t>主要包括农业生产条件、粮食和大食物生产情况、农业新质生产力情况、乡村发展基本情况、农村居民生活情况等。</w:t>
      </w:r>
    </w:p>
    <w:p w14:paraId="31EF3665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楷体_GB2312" w:hAnsi="宋体" w:eastAsia="楷体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楷体_GB2312" w:hAnsi="宋体" w:eastAsia="楷体_GB2312" w:cstheme="minorBidi"/>
          <w:snapToGrid/>
          <w:color w:val="auto"/>
          <w:kern w:val="2"/>
          <w:sz w:val="32"/>
          <w:szCs w:val="32"/>
          <w:lang w:eastAsia="zh-CN"/>
        </w:rPr>
        <w:t>（四）普查时间安排</w:t>
      </w:r>
    </w:p>
    <w:p w14:paraId="2AEAABE7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  <w:t>普查标准时点为2026年12月31日24时，所有普查数据以此为时间节点进行统计；时期资料为2026年全年数据，全面反映年度农业生产经营全貌。</w:t>
      </w:r>
    </w:p>
    <w:p w14:paraId="4AA0B09C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黑体" w:hAnsi="黑体" w:eastAsia="黑体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theme="minorBidi"/>
          <w:snapToGrid/>
          <w:color w:val="auto"/>
          <w:kern w:val="2"/>
          <w:sz w:val="32"/>
          <w:szCs w:val="32"/>
          <w:lang w:eastAsia="zh-CN"/>
        </w:rPr>
        <w:t>三、组织实施与职责分工</w:t>
      </w:r>
    </w:p>
    <w:p w14:paraId="761DDDE2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楷体_GB2312" w:hAnsi="宋体" w:eastAsia="楷体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楷体_GB2312" w:hAnsi="宋体" w:eastAsia="楷体_GB2312" w:cstheme="minorBidi"/>
          <w:snapToGrid/>
          <w:color w:val="auto"/>
          <w:kern w:val="2"/>
          <w:sz w:val="32"/>
          <w:szCs w:val="32"/>
          <w:lang w:eastAsia="zh-CN"/>
        </w:rPr>
        <w:t>（一）成立普查领导机构</w:t>
      </w:r>
    </w:p>
    <w:p w14:paraId="66E3B6BD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  <w:t>成立济南市钢城区第四次全国农业普查领导小组（以下简称“领导小组”），负责统筹推进全区普查工作：研究解决普查实施中的重大问题；督促落实普查经费、人员配置、物资保障等关键事项；监督指导各街道（功能区）办事处（管委会）及相关部门严格履行普查职责，确保普查数据真实准确；组织协调跨部门数据共享与协作事宜，推动普查成果转化应用等工作。领导小组不纳入区级议事协调机构管理，普查任务完成后自动撤销。</w:t>
      </w:r>
    </w:p>
    <w:p w14:paraId="41E32CDB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  <w:t>普查领导小组办公室设在区统计局，具体承担普查日常工作的组织实施、统筹协调与督促落实。</w:t>
      </w:r>
    </w:p>
    <w:p w14:paraId="22F336EF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楷体_GB2312" w:hAnsi="宋体" w:eastAsia="楷体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楷体_GB2312" w:hAnsi="宋体" w:eastAsia="楷体_GB2312" w:cstheme="minorBidi"/>
          <w:snapToGrid/>
          <w:color w:val="auto"/>
          <w:kern w:val="2"/>
          <w:sz w:val="32"/>
          <w:szCs w:val="32"/>
          <w:lang w:eastAsia="zh-CN"/>
        </w:rPr>
        <w:t>（二）明确部门职责分工</w:t>
      </w:r>
    </w:p>
    <w:p w14:paraId="35F45901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  <w:t>区统计局：牵头负责普查全面工作，制定实施方案，组织业务培训，统筹数据采集与质量管控。</w:t>
      </w:r>
    </w:p>
    <w:p w14:paraId="7BE730EF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  <w:t>区委宣传部、区融媒体中心：通过“幸福钢城”客户端普及普查知识，营造良好氛围。</w:t>
      </w:r>
    </w:p>
    <w:p w14:paraId="1827D627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  <w:t>区财政局：保障普查经费足额到位，列入年度财政预算，加强经费使用监管。</w:t>
      </w:r>
    </w:p>
    <w:p w14:paraId="63631946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  <w:t>区自然资源局：提供林业经营、土地确权、农业用地分布等资料，支撑农业生产条件普查。</w:t>
      </w:r>
    </w:p>
    <w:p w14:paraId="44589400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  <w:t>区农业农村局：提供农业生产、畜禽养殖、渔业生产等数据，参与普查方案制定与数据审核，组织系统内人员配合普查。</w:t>
      </w:r>
    </w:p>
    <w:p w14:paraId="742043A6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  <w:t>市公安局钢城分局：协助提供农村住户户籍信息，依法打击普查中的违法犯罪问题。</w:t>
      </w:r>
    </w:p>
    <w:p w14:paraId="6CB257E7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  <w:t>其他成员单位：按职责提供相关普查资料，协助开展本系统普查对象的动员配合工作。</w:t>
      </w:r>
    </w:p>
    <w:p w14:paraId="19D66FE5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楷体_GB2312" w:hAnsi="宋体" w:eastAsia="楷体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楷体_GB2312" w:hAnsi="宋体" w:eastAsia="楷体_GB2312" w:cstheme="minorBidi"/>
          <w:snapToGrid/>
          <w:color w:val="auto"/>
          <w:kern w:val="2"/>
          <w:sz w:val="32"/>
          <w:szCs w:val="32"/>
          <w:lang w:eastAsia="zh-CN"/>
        </w:rPr>
        <w:t>（三）压实基层工作责任</w:t>
      </w:r>
    </w:p>
    <w:p w14:paraId="6E4EA7BA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  <w:t>各街道（功能区）办事处（管委会）承担本区域普查主体责任，要配强普查队伍，细化工作措施，及时协调解决普查难题；充分发挥村（居）委会作用，组织基层干部、网格员协助普查员开展入户登记、信息核实等工作，确保普查无死角、全覆盖。</w:t>
      </w:r>
    </w:p>
    <w:p w14:paraId="12A5480A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黑体" w:hAnsi="黑体" w:eastAsia="黑体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theme="minorBidi"/>
          <w:snapToGrid/>
          <w:color w:val="auto"/>
          <w:kern w:val="2"/>
          <w:sz w:val="32"/>
          <w:szCs w:val="32"/>
          <w:lang w:eastAsia="zh-CN"/>
        </w:rPr>
        <w:t>五、经费与人员保障</w:t>
      </w:r>
    </w:p>
    <w:p w14:paraId="31DB5596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楷体_GB2312" w:hAnsi="宋体" w:eastAsia="楷体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楷体_GB2312" w:hAnsi="宋体" w:eastAsia="楷体_GB2312" w:cstheme="minorBidi"/>
          <w:snapToGrid/>
          <w:color w:val="auto"/>
          <w:kern w:val="2"/>
          <w:sz w:val="32"/>
          <w:szCs w:val="32"/>
          <w:lang w:eastAsia="zh-CN"/>
        </w:rPr>
        <w:t>（一）经费保障</w:t>
      </w:r>
    </w:p>
    <w:p w14:paraId="253DDFB5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  <w:t>本次农业普查所需经费实行各级财政分级负担机制，列入相应年度财政预算，财政部门要严格按照预算管理要求，确保经费按时足额拨付、精准高效到位，为普查工作有序开展提供坚实保障。其中，普查用手持移动终端配置需坚持“充分利旧、按需配置、科学测算”原则，相关购置经费由省、市、区三级财政共同负担；普查“两员”（普查员、普查指导员）报酬按市、区两级财政1:1比例共同承担，区财政部门要确保普查经费及时拨付到位，严禁截留、挪用、拖欠。</w:t>
      </w:r>
    </w:p>
    <w:p w14:paraId="4D5DDF77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楷体_GB2312" w:hAnsi="宋体" w:eastAsia="楷体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楷体_GB2312" w:hAnsi="宋体" w:eastAsia="楷体_GB2312" w:cstheme="minorBidi"/>
          <w:snapToGrid/>
          <w:color w:val="auto"/>
          <w:kern w:val="2"/>
          <w:sz w:val="32"/>
          <w:szCs w:val="32"/>
          <w:lang w:eastAsia="zh-CN"/>
        </w:rPr>
        <w:t>（二）人员保障</w:t>
      </w:r>
    </w:p>
    <w:p w14:paraId="235CB287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  <w:t>区级和街道（功能区）办事处（管委会）普查机构可根据工作实际需要，通过聘用或商调方式配备符合条件的普查指导员和普查员（以下简称“两员”），对聘用人员要按规定及时足额支付劳动报酬，对商调人员要协调其原单位保持工资、福利及岗位不变，并保留原有工作岗位，切实稳定普查工作队伍。</w:t>
      </w:r>
    </w:p>
    <w:p w14:paraId="7AA621F1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黑体" w:hAnsi="黑体" w:eastAsia="黑体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theme="minorBidi"/>
          <w:snapToGrid/>
          <w:color w:val="auto"/>
          <w:kern w:val="2"/>
          <w:sz w:val="32"/>
          <w:szCs w:val="32"/>
          <w:lang w:eastAsia="zh-CN"/>
        </w:rPr>
        <w:t>六、做好宣传引导</w:t>
      </w:r>
    </w:p>
    <w:p w14:paraId="2F18C412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  <w:t>区普查机构要会同区委宣传部、区融媒体中心及各街道（功能区），统筹推进第四次全国农业普查宣传工作的整体策划与组织实施。充分发挥区委宣传部、区融媒体中心资源整合优势，统筹利用新媒体力量；依托各街道（功能区）网格化管理体系，联动社区（村）宣传阵地，通过张贴宣传海报、发放普查手册、入户现场讲解等接地气的方式，引导普查对象主动配合。</w:t>
      </w:r>
    </w:p>
    <w:p w14:paraId="133F101A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黑体" w:hAnsi="黑体" w:eastAsia="黑体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黑体" w:hAnsi="黑体" w:eastAsia="黑体" w:cstheme="minorBidi"/>
          <w:snapToGrid/>
          <w:color w:val="auto"/>
          <w:kern w:val="2"/>
          <w:sz w:val="32"/>
          <w:szCs w:val="32"/>
          <w:lang w:eastAsia="zh-CN"/>
        </w:rPr>
        <w:t>七、工作要求</w:t>
      </w:r>
    </w:p>
    <w:p w14:paraId="1DD9AAE3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楷体_GB2312" w:hAnsi="宋体" w:eastAsia="楷体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楷体_GB2312" w:hAnsi="宋体" w:eastAsia="楷体_GB2312" w:cstheme="minorBidi"/>
          <w:snapToGrid/>
          <w:color w:val="auto"/>
          <w:kern w:val="2"/>
          <w:sz w:val="32"/>
          <w:szCs w:val="32"/>
          <w:lang w:eastAsia="zh-CN"/>
        </w:rPr>
        <w:t>（一）坚持依法普查</w:t>
      </w:r>
    </w:p>
    <w:p w14:paraId="502BCB90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  <w:t>各有关部门（单位）须严格依照《中华人民共和国统计法》《中华人民共和国统计法实施条例》《全国农业普查条例》等法律法规，统筹推进第四次全国农业普查各项工作。普查人员须如实搜集报送资料，不得伪造篡改；普查对象须依法按时如实填报，不得迟报、拒报。普查人员对普查中知悉的国家秘密、商业秘密和个人隐私须严格保密。</w:t>
      </w:r>
    </w:p>
    <w:p w14:paraId="42699363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楷体_GB2312" w:hAnsi="宋体" w:eastAsia="楷体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楷体_GB2312" w:hAnsi="宋体" w:eastAsia="楷体_GB2312" w:cstheme="minorBidi"/>
          <w:snapToGrid/>
          <w:color w:val="auto"/>
          <w:kern w:val="2"/>
          <w:sz w:val="32"/>
          <w:szCs w:val="32"/>
          <w:lang w:eastAsia="zh-CN"/>
        </w:rPr>
        <w:t>（二）严控数据质量</w:t>
      </w:r>
    </w:p>
    <w:p w14:paraId="59B5ED8A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  <w:t>普查中始终坚守“数据质量第一”原则，严格执行普查方案，规范工作流程，加强全流程数据质量检查核查，健全数据质量追溯与问责机制，坚决防范、严厉惩治统计造假行为，确保普查数据真实准确、完整可信。</w:t>
      </w:r>
    </w:p>
    <w:p w14:paraId="2B70854A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楷体_GB2312" w:hAnsi="宋体" w:eastAsia="楷体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楷体_GB2312" w:hAnsi="宋体" w:eastAsia="楷体_GB2312" w:cstheme="minorBidi"/>
          <w:snapToGrid/>
          <w:color w:val="auto"/>
          <w:kern w:val="2"/>
          <w:sz w:val="32"/>
          <w:szCs w:val="32"/>
          <w:lang w:eastAsia="zh-CN"/>
        </w:rPr>
        <w:t>（三）创新普查手段</w:t>
      </w:r>
    </w:p>
    <w:p w14:paraId="61F85C23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  <w:t>加强与济南市调查队和</w:t>
      </w:r>
      <w:r>
        <w:rPr>
          <w:rFonts w:hint="eastAsia" w:eastAsia="仿宋_GB2312" w:cs="文星仿宋"/>
          <w:sz w:val="32"/>
          <w:szCs w:val="32"/>
        </w:rPr>
        <w:t>市气象局气象服务处</w:t>
      </w:r>
      <w:r>
        <w:rPr>
          <w:rFonts w:hint="eastAsia"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  <w:t>协作，运用无人机勘测等技术核查农作物播种面积，采用手持移动终端现场采集数据与网上填报相结合的方式，提高普查效率。充分利用部门数据，减少重复填报，减轻基层和普查对象负担。</w:t>
      </w:r>
    </w:p>
    <w:p w14:paraId="56B4481E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</w:pPr>
    </w:p>
    <w:p w14:paraId="2783B457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  <w:t>附件：济南市钢城区第四次全国农业普查领导小组组成人</w:t>
      </w:r>
    </w:p>
    <w:p w14:paraId="006C535C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1600" w:firstLineChars="500"/>
        <w:jc w:val="both"/>
        <w:textAlignment w:val="auto"/>
        <w:rPr>
          <w:rFonts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  <w:t>员名单</w:t>
      </w:r>
    </w:p>
    <w:p w14:paraId="1B611CB1">
      <w:pPr>
        <w:overflowPunct w:val="0"/>
        <w:spacing w:line="590" w:lineRule="exact"/>
        <w:rPr>
          <w:rFonts w:ascii="宋体" w:hAnsi="宋体" w:eastAsia="仿宋_GB2312"/>
          <w:sz w:val="32"/>
          <w:szCs w:val="32"/>
        </w:rPr>
      </w:pPr>
    </w:p>
    <w:p w14:paraId="77966613">
      <w:pPr>
        <w:overflowPunct w:val="0"/>
        <w:spacing w:line="590" w:lineRule="exact"/>
        <w:rPr>
          <w:rFonts w:ascii="宋体" w:hAnsi="宋体" w:eastAsia="仿宋_GB2312"/>
          <w:sz w:val="32"/>
          <w:szCs w:val="32"/>
        </w:rPr>
      </w:pPr>
    </w:p>
    <w:p w14:paraId="5FD6D472">
      <w:pPr>
        <w:wordWrap w:val="0"/>
        <w:overflowPunct w:val="0"/>
        <w:spacing w:line="590" w:lineRule="exact"/>
        <w:jc w:val="right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济南市钢城区人民政府 </w:t>
      </w:r>
      <w:r>
        <w:rPr>
          <w:rFonts w:ascii="宋体" w:hAnsi="宋体" w:eastAsia="仿宋_GB2312"/>
          <w:sz w:val="32"/>
          <w:szCs w:val="32"/>
        </w:rPr>
        <w:t xml:space="preserve">  </w:t>
      </w:r>
      <w:r>
        <w:rPr>
          <w:rFonts w:hint="eastAsia" w:ascii="宋体" w:hAnsi="宋体" w:eastAsia="仿宋_GB2312"/>
          <w:sz w:val="32"/>
          <w:szCs w:val="32"/>
        </w:rPr>
        <w:t xml:space="preserve">   </w:t>
      </w:r>
    </w:p>
    <w:p w14:paraId="4FA108D5">
      <w:pPr>
        <w:wordWrap w:val="0"/>
        <w:overflowPunct w:val="0"/>
        <w:spacing w:line="590" w:lineRule="exact"/>
        <w:jc w:val="right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2025年12月</w:t>
      </w:r>
      <w:r>
        <w:rPr>
          <w:rFonts w:ascii="宋体" w:hAnsi="宋体" w:eastAsia="仿宋_GB2312"/>
          <w:sz w:val="32"/>
          <w:szCs w:val="32"/>
        </w:rPr>
        <w:t>29</w:t>
      </w:r>
      <w:r>
        <w:rPr>
          <w:rFonts w:hint="eastAsia" w:ascii="宋体" w:hAnsi="宋体" w:eastAsia="仿宋_GB2312"/>
          <w:sz w:val="32"/>
          <w:szCs w:val="32"/>
        </w:rPr>
        <w:t xml:space="preserve">日        </w:t>
      </w:r>
    </w:p>
    <w:p w14:paraId="4BF05159">
      <w:pPr>
        <w:pStyle w:val="4"/>
        <w:spacing w:line="560" w:lineRule="exact"/>
        <w:ind w:firstLine="692" w:firstLineChars="200"/>
        <w:rPr>
          <w:rFonts w:ascii="仿宋_GB2312" w:eastAsia="仿宋_GB2312"/>
          <w:spacing w:val="13"/>
          <w:sz w:val="32"/>
          <w:szCs w:val="32"/>
          <w:lang w:eastAsia="zh-CN"/>
        </w:rPr>
      </w:pPr>
    </w:p>
    <w:p w14:paraId="60DA379A">
      <w:pPr>
        <w:pStyle w:val="4"/>
        <w:spacing w:line="560" w:lineRule="exact"/>
        <w:ind w:firstLine="692" w:firstLineChars="200"/>
        <w:rPr>
          <w:rFonts w:ascii="仿宋_GB2312" w:eastAsia="仿宋_GB2312"/>
          <w:spacing w:val="13"/>
          <w:sz w:val="32"/>
          <w:szCs w:val="32"/>
          <w:lang w:eastAsia="zh-CN"/>
        </w:rPr>
      </w:pPr>
    </w:p>
    <w:p w14:paraId="6D35D064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  <w:t>（联系电话：区统计局，75878011）</w:t>
      </w:r>
    </w:p>
    <w:p w14:paraId="599A1BCC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  <w:t>（此件正文公开发布，附件不予公开）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474" w:bottom="1701" w:left="1474" w:header="0" w:footer="1406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7380B4-BCE0-4051-8C11-3AF5DF7C34E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2" w:fontKey="{3800DF00-5070-46B3-A2F5-D4D67FF2D01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  <w:embedRegular r:id="rId3" w:fontKey="{40916EC0-8242-4E70-9E97-51430581805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9252EB2-9F21-4196-A688-7A7C3E6F2539}"/>
  </w:font>
  <w:font w:name="文星仿宋">
    <w:altName w:val="仿宋"/>
    <w:panose1 w:val="02010609000101010101"/>
    <w:charset w:val="86"/>
    <w:family w:val="modern"/>
    <w:pitch w:val="default"/>
    <w:sig w:usb0="00000000" w:usb1="00000000" w:usb2="00000010" w:usb3="00000000" w:csb0="00040000" w:csb1="00000000"/>
    <w:embedRegular r:id="rId5" w:fontKey="{7EDE36DC-BB00-4EFE-AADF-6F118E1331A0}"/>
  </w:font>
  <w:font w:name="文星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  <w:embedRegular r:id="rId6" w:fontKey="{15AF0CE3-FE50-4737-97B8-E403D4E88CF6}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08B03384-4C16-4BA3-AFDE-740A9E96BF9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8" w:fontKey="{C99CFE89-8F07-4B29-86C9-CCBD4949A93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0"/>
        <w:rFonts w:hint="eastAsia" w:asciiTheme="minorEastAsia" w:hAnsiTheme="minorEastAsia"/>
        <w:sz w:val="28"/>
        <w:szCs w:val="28"/>
      </w:rPr>
      <w:id w:val="-1859811170"/>
      <w:docPartObj>
        <w:docPartGallery w:val="AutoText"/>
      </w:docPartObj>
    </w:sdtPr>
    <w:sdtEndPr>
      <w:rPr>
        <w:rStyle w:val="10"/>
        <w:rFonts w:hint="eastAsia" w:asciiTheme="minorEastAsia" w:hAnsiTheme="minorEastAsia"/>
        <w:sz w:val="28"/>
        <w:szCs w:val="28"/>
      </w:rPr>
    </w:sdtEndPr>
    <w:sdtContent>
      <w:p w14:paraId="66B4880D">
        <w:pPr>
          <w:pStyle w:val="5"/>
          <w:framePr w:wrap="around" w:vAnchor="text" w:hAnchor="margin" w:xAlign="outside" w:y="1"/>
          <w:rPr>
            <w:rStyle w:val="10"/>
            <w:rFonts w:asciiTheme="minorEastAsia" w:hAnsiTheme="minorEastAsia"/>
            <w:sz w:val="28"/>
            <w:szCs w:val="28"/>
          </w:rPr>
        </w:pPr>
        <w:r>
          <w:rPr>
            <w:rStyle w:val="10"/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Style w:val="10"/>
            <w:rFonts w:asciiTheme="minorEastAsia" w:hAnsiTheme="minorEastAsia"/>
            <w:sz w:val="28"/>
            <w:szCs w:val="28"/>
          </w:rPr>
          <w:fldChar w:fldCharType="begin"/>
        </w:r>
        <w:r>
          <w:rPr>
            <w:rStyle w:val="10"/>
            <w:rFonts w:asciiTheme="minorEastAsia" w:hAnsiTheme="minorEastAsia"/>
            <w:sz w:val="28"/>
            <w:szCs w:val="28"/>
          </w:rPr>
          <w:instrText xml:space="preserve"> PAGE </w:instrText>
        </w:r>
        <w:r>
          <w:rPr>
            <w:rStyle w:val="10"/>
            <w:rFonts w:asciiTheme="minorEastAsia" w:hAnsiTheme="minorEastAsia"/>
            <w:sz w:val="28"/>
            <w:szCs w:val="28"/>
          </w:rPr>
          <w:fldChar w:fldCharType="separate"/>
        </w:r>
        <w:r>
          <w:rPr>
            <w:rStyle w:val="10"/>
            <w:rFonts w:asciiTheme="minorEastAsia" w:hAnsiTheme="minorEastAsia"/>
            <w:sz w:val="28"/>
            <w:szCs w:val="28"/>
          </w:rPr>
          <w:t>7</w:t>
        </w:r>
        <w:r>
          <w:rPr>
            <w:rStyle w:val="10"/>
            <w:rFonts w:asciiTheme="minorEastAsia" w:hAnsiTheme="minorEastAsia"/>
            <w:sz w:val="28"/>
            <w:szCs w:val="28"/>
          </w:rPr>
          <w:fldChar w:fldCharType="end"/>
        </w:r>
        <w:r>
          <w:rPr>
            <w:rStyle w:val="10"/>
            <w:rFonts w:asciiTheme="minorEastAsia" w:hAnsiTheme="minorEastAsia"/>
            <w:sz w:val="28"/>
            <w:szCs w:val="28"/>
          </w:rPr>
          <w:t xml:space="preserve"> </w:t>
        </w:r>
        <w:r>
          <w:rPr>
            <w:rStyle w:val="10"/>
            <w:rFonts w:hint="eastAsia" w:asciiTheme="minorEastAsia" w:hAnsiTheme="minorEastAsia"/>
            <w:sz w:val="28"/>
            <w:szCs w:val="28"/>
          </w:rPr>
          <w:t>—</w:t>
        </w:r>
      </w:p>
    </w:sdtContent>
  </w:sdt>
  <w:p w14:paraId="3E42B537">
    <w:pPr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E395C">
    <w:pPr>
      <w:pStyle w:val="5"/>
      <w:numPr>
        <w:ilvl w:val="0"/>
        <w:numId w:val="1"/>
      </w:numPr>
      <w:rPr>
        <w:rFonts w:ascii="宋体" w:hAnsi="宋体" w:eastAsia="宋体"/>
        <w:sz w:val="28"/>
        <w:szCs w:val="28"/>
      </w:rPr>
    </w:pPr>
    <w:sdt>
      <w:sdtPr>
        <w:rPr>
          <w:rFonts w:ascii="宋体" w:hAnsi="宋体" w:eastAsia="宋体"/>
          <w:sz w:val="28"/>
          <w:szCs w:val="28"/>
        </w:rPr>
        <w:id w:val="1186174543"/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8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</w:sdtContent>
    </w:sdt>
    <w:r>
      <w:rPr>
        <w:rFonts w:ascii="宋体" w:hAnsi="宋体" w:eastAsia="宋体"/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2B5F03"/>
    <w:multiLevelType w:val="multilevel"/>
    <w:tmpl w:val="272B5F03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Arial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displayBackgroundShape w:val="1"/>
  <w:embedTrueTypeFonts/>
  <w:saveSubsetFonts/>
  <w:bordersDoNotSurroundHeader w:val="1"/>
  <w:bordersDoNotSurroundFooter w:val="1"/>
  <w:documentProtection w:enforcement="0"/>
  <w:defaultTabStop w:val="420"/>
  <w:evenAndOddHeaders w:val="1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835"/>
    <w:rsid w:val="00070970"/>
    <w:rsid w:val="00167985"/>
    <w:rsid w:val="001D19C2"/>
    <w:rsid w:val="00264025"/>
    <w:rsid w:val="0028723C"/>
    <w:rsid w:val="00297FBD"/>
    <w:rsid w:val="003019E3"/>
    <w:rsid w:val="00322975"/>
    <w:rsid w:val="003413C2"/>
    <w:rsid w:val="003559BE"/>
    <w:rsid w:val="00362A17"/>
    <w:rsid w:val="00390F6C"/>
    <w:rsid w:val="00395FF1"/>
    <w:rsid w:val="00451DFD"/>
    <w:rsid w:val="004534B1"/>
    <w:rsid w:val="00606002"/>
    <w:rsid w:val="00610AC4"/>
    <w:rsid w:val="00627C44"/>
    <w:rsid w:val="00642097"/>
    <w:rsid w:val="00671392"/>
    <w:rsid w:val="00671A52"/>
    <w:rsid w:val="006E616D"/>
    <w:rsid w:val="007632C7"/>
    <w:rsid w:val="007C1E59"/>
    <w:rsid w:val="0087182C"/>
    <w:rsid w:val="0088548C"/>
    <w:rsid w:val="00917D0E"/>
    <w:rsid w:val="00977C30"/>
    <w:rsid w:val="0098369A"/>
    <w:rsid w:val="00993CAF"/>
    <w:rsid w:val="009D13D3"/>
    <w:rsid w:val="00A45B43"/>
    <w:rsid w:val="00A80A30"/>
    <w:rsid w:val="00A9371B"/>
    <w:rsid w:val="00AB4FD8"/>
    <w:rsid w:val="00B51835"/>
    <w:rsid w:val="00C57E67"/>
    <w:rsid w:val="00CC18D8"/>
    <w:rsid w:val="00D30BC5"/>
    <w:rsid w:val="00DA3691"/>
    <w:rsid w:val="00DD55F1"/>
    <w:rsid w:val="00E052B6"/>
    <w:rsid w:val="00E15854"/>
    <w:rsid w:val="00EB65CD"/>
    <w:rsid w:val="00EF5FC3"/>
    <w:rsid w:val="00F50FE7"/>
    <w:rsid w:val="00F543D7"/>
    <w:rsid w:val="00FC526A"/>
    <w:rsid w:val="00FC7CC5"/>
    <w:rsid w:val="00FF3D48"/>
    <w:rsid w:val="01E44C93"/>
    <w:rsid w:val="072021EF"/>
    <w:rsid w:val="0A522A48"/>
    <w:rsid w:val="0C8218DB"/>
    <w:rsid w:val="113D6DD2"/>
    <w:rsid w:val="128A64F5"/>
    <w:rsid w:val="12E20BDB"/>
    <w:rsid w:val="16BB4153"/>
    <w:rsid w:val="1D561782"/>
    <w:rsid w:val="1DB93368"/>
    <w:rsid w:val="1DF15594"/>
    <w:rsid w:val="23A652BE"/>
    <w:rsid w:val="25230D77"/>
    <w:rsid w:val="25387FF3"/>
    <w:rsid w:val="25E35426"/>
    <w:rsid w:val="264054F6"/>
    <w:rsid w:val="26FC6074"/>
    <w:rsid w:val="28AE0657"/>
    <w:rsid w:val="28EA687F"/>
    <w:rsid w:val="2D0953FA"/>
    <w:rsid w:val="2DA23685"/>
    <w:rsid w:val="2DF62003"/>
    <w:rsid w:val="30C524D3"/>
    <w:rsid w:val="317A708F"/>
    <w:rsid w:val="31A43590"/>
    <w:rsid w:val="332E7135"/>
    <w:rsid w:val="34622646"/>
    <w:rsid w:val="36FB031F"/>
    <w:rsid w:val="37814AE0"/>
    <w:rsid w:val="38E86458"/>
    <w:rsid w:val="3D5B6CD0"/>
    <w:rsid w:val="3DF0384D"/>
    <w:rsid w:val="3E314C65"/>
    <w:rsid w:val="40A222AA"/>
    <w:rsid w:val="40A34EF9"/>
    <w:rsid w:val="419834F6"/>
    <w:rsid w:val="4A541B9F"/>
    <w:rsid w:val="4DFB185C"/>
    <w:rsid w:val="507D0C4B"/>
    <w:rsid w:val="52947E5F"/>
    <w:rsid w:val="53E931A3"/>
    <w:rsid w:val="5A6A1CD4"/>
    <w:rsid w:val="5BCE57BB"/>
    <w:rsid w:val="5C5C7580"/>
    <w:rsid w:val="5E49063D"/>
    <w:rsid w:val="5E823091"/>
    <w:rsid w:val="5EE8576B"/>
    <w:rsid w:val="5F205F48"/>
    <w:rsid w:val="63184CF0"/>
    <w:rsid w:val="63C45248"/>
    <w:rsid w:val="667D3B3C"/>
    <w:rsid w:val="6AD820D3"/>
    <w:rsid w:val="6B4F21E3"/>
    <w:rsid w:val="6D6304DA"/>
    <w:rsid w:val="6DDD3AD6"/>
    <w:rsid w:val="70207CAA"/>
    <w:rsid w:val="75555754"/>
    <w:rsid w:val="75955959"/>
    <w:rsid w:val="767A05B5"/>
    <w:rsid w:val="7682346D"/>
    <w:rsid w:val="78061E7B"/>
    <w:rsid w:val="7CEC6585"/>
    <w:rsid w:val="7EB75DFB"/>
    <w:rsid w:val="7F22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/>
      <w:sz w:val="36"/>
      <w:szCs w:val="36"/>
      <w:lang w:eastAsia="zh-CN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outlineLvl w:val="2"/>
    </w:pPr>
    <w:rPr>
      <w:rFonts w:hint="eastAsia" w:ascii="宋体" w:hAnsi="宋体" w:eastAsia="宋体" w:cs="Times New Roman"/>
      <w:b/>
      <w:bCs/>
      <w:sz w:val="27"/>
      <w:szCs w:val="27"/>
      <w:lang w:eastAsia="zh-CN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  <w:lang w:eastAsia="zh-CN"/>
    </w:rPr>
  </w:style>
  <w:style w:type="character" w:styleId="10">
    <w:name w:val="page number"/>
    <w:basedOn w:val="9"/>
    <w:autoRedefine/>
    <w:qFormat/>
    <w:uiPriority w:val="0"/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character" w:customStyle="1" w:styleId="13">
    <w:name w:val="font11"/>
    <w:basedOn w:val="9"/>
    <w:qFormat/>
    <w:uiPriority w:val="0"/>
    <w:rPr>
      <w:rFonts w:ascii="微软雅黑" w:hAnsi="微软雅黑" w:eastAsia="微软雅黑" w:cs="微软雅黑"/>
      <w:color w:val="000000"/>
      <w:sz w:val="31"/>
      <w:szCs w:val="31"/>
      <w:u w:val="none"/>
    </w:rPr>
  </w:style>
  <w:style w:type="character" w:customStyle="1" w:styleId="14">
    <w:name w:val="font21"/>
    <w:basedOn w:val="9"/>
    <w:qFormat/>
    <w:uiPriority w:val="0"/>
    <w:rPr>
      <w:rFonts w:ascii="仿宋" w:hAnsi="仿宋" w:eastAsia="仿宋" w:cs="仿宋"/>
      <w:color w:val="000000"/>
      <w:sz w:val="31"/>
      <w:szCs w:val="31"/>
      <w:u w:val="none"/>
    </w:rPr>
  </w:style>
  <w:style w:type="character" w:customStyle="1" w:styleId="15">
    <w:name w:val="页脚 字符"/>
    <w:basedOn w:val="9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paragraph" w:customStyle="1" w:styleId="16">
    <w:name w:val="常用样式（方正仿宋简）"/>
    <w:basedOn w:val="1"/>
    <w:qFormat/>
    <w:uiPriority w:val="0"/>
    <w:pPr>
      <w:widowControl w:val="0"/>
      <w:kinsoku/>
      <w:autoSpaceDE/>
      <w:autoSpaceDN/>
      <w:adjustRightInd/>
      <w:snapToGrid/>
      <w:spacing w:line="560" w:lineRule="exact"/>
      <w:ind w:firstLine="640" w:firstLineChars="200"/>
      <w:jc w:val="both"/>
      <w:textAlignment w:val="auto"/>
    </w:pPr>
    <w:rPr>
      <w:rFonts w:ascii="Calibri" w:hAnsi="Calibri" w:eastAsia="仿宋_GB2312" w:cs="Times New Roman"/>
      <w:snapToGrid/>
      <w:color w:val="auto"/>
      <w:kern w:val="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2AD4D8-5609-4E2D-BE36-C0481E445F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2908</Words>
  <Characters>2951</Characters>
  <Lines>22</Lines>
  <Paragraphs>6</Paragraphs>
  <TotalTime>343</TotalTime>
  <ScaleCrop>false</ScaleCrop>
  <LinksUpToDate>false</LinksUpToDate>
  <CharactersWithSpaces>3023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2025-12-19T03:27:00Z</dcterms:created>
  <dc:creator>作者</dc:creator>
  <cp:keywords>关键字</cp:keywords>
  <cp:lastModifiedBy>要什么自行车</cp:lastModifiedBy>
  <dcterms:modified xsi:type="dcterms:W3CDTF">2025-12-31T06:54:17Z</dcterms:modified>
  <dc:subject>科目</dc:subject>
  <dc:title>标题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2025-12-03T14:28:21Z</vt:filetime>
  </property>
  <property fmtid="{D5CDD505-2E9C-101B-9397-08002B2CF9AE}" pid="4" name="KSOTemplateDocerSaveRecord">
    <vt:lpwstr>eyJoZGlkIjoiOTRkNDgxY2Y3MTc2MzI3ZWVjMDY4MzkzZGJmODk1NjAiLCJ1c2VySWQiOiI2NzcyMjg0OTIifQ==</vt:lpwstr>
  </property>
  <property fmtid="{D5CDD505-2E9C-101B-9397-08002B2CF9AE}" pid="5" name="KSOProductBuildVer">
    <vt:lpwstr>2052-12.1.0.24034</vt:lpwstr>
  </property>
  <property fmtid="{D5CDD505-2E9C-101B-9397-08002B2CF9AE}" pid="6" name="ICV">
    <vt:lpwstr>EF1F2266DB0B4D7193838718F8C80C6F_13</vt:lpwstr>
  </property>
</Properties>
</file>