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A924">
      <w:pPr>
        <w:overflowPunct w:val="0"/>
        <w:adjustRightInd w:val="0"/>
        <w:spacing w:line="240" w:lineRule="exact"/>
        <w:jc w:val="center"/>
        <w:rPr>
          <w:rFonts w:ascii="新宋体" w:hAnsi="新宋体" w:eastAsia="方正仿宋_GBK"/>
          <w:color w:val="000000"/>
          <w:szCs w:val="32"/>
        </w:rPr>
      </w:pPr>
    </w:p>
    <w:p w14:paraId="6D984516">
      <w:pPr>
        <w:overflowPunct w:val="0"/>
        <w:adjustRightInd w:val="0"/>
        <w:spacing w:line="240" w:lineRule="exact"/>
        <w:jc w:val="center"/>
        <w:rPr>
          <w:rFonts w:ascii="新宋体" w:hAnsi="新宋体" w:eastAsia="方正仿宋_GBK"/>
          <w:color w:val="000000"/>
          <w:szCs w:val="32"/>
        </w:rPr>
      </w:pPr>
    </w:p>
    <w:p w14:paraId="729271C7">
      <w:pPr>
        <w:overflowPunct w:val="0"/>
        <w:adjustRightInd w:val="0"/>
        <w:spacing w:line="240" w:lineRule="exact"/>
        <w:jc w:val="center"/>
        <w:rPr>
          <w:rFonts w:ascii="新宋体" w:hAnsi="新宋体" w:eastAsia="方正仿宋_GBK"/>
          <w:color w:val="000000"/>
          <w:szCs w:val="32"/>
        </w:rPr>
      </w:pPr>
    </w:p>
    <w:p w14:paraId="11956415">
      <w:pPr>
        <w:overflowPunct w:val="0"/>
        <w:adjustRightInd w:val="0"/>
        <w:spacing w:line="240" w:lineRule="exact"/>
        <w:jc w:val="center"/>
        <w:rPr>
          <w:rFonts w:ascii="新宋体" w:hAnsi="新宋体" w:eastAsia="方正仿宋_GBK"/>
          <w:color w:val="000000"/>
          <w:szCs w:val="32"/>
        </w:rPr>
      </w:pPr>
    </w:p>
    <w:p w14:paraId="32514DD9">
      <w:pPr>
        <w:overflowPunct w:val="0"/>
        <w:adjustRightInd w:val="0"/>
        <w:spacing w:line="240" w:lineRule="exact"/>
        <w:jc w:val="center"/>
        <w:rPr>
          <w:rFonts w:ascii="新宋体" w:hAnsi="新宋体" w:eastAsia="方正仿宋_GBK"/>
          <w:color w:val="000000"/>
          <w:szCs w:val="32"/>
        </w:rPr>
      </w:pPr>
    </w:p>
    <w:p w14:paraId="4F0F67A2">
      <w:pPr>
        <w:overflowPunct w:val="0"/>
        <w:adjustRightInd w:val="0"/>
        <w:jc w:val="center"/>
        <w:rPr>
          <w:rFonts w:ascii="新宋体" w:hAnsi="新宋体" w:eastAsia="方正小标宋简体" w:cs="方正小标宋简体"/>
          <w:color w:val="FF0000"/>
          <w:w w:val="59"/>
          <w:sz w:val="150"/>
          <w:szCs w:val="150"/>
        </w:rPr>
      </w:pPr>
      <w:r>
        <w:rPr>
          <w:rFonts w:hint="eastAsia" w:ascii="新宋体" w:hAnsi="新宋体" w:eastAsia="方正小标宋简体" w:cs="方正小标宋简体"/>
          <w:color w:val="FF0000"/>
          <w:w w:val="59"/>
          <w:sz w:val="150"/>
          <w:szCs w:val="150"/>
        </w:rPr>
        <w:t>济南市钢城区人民政府</w:t>
      </w:r>
    </w:p>
    <w:p w14:paraId="07A85C7B">
      <w:pPr>
        <w:overflowPunct w:val="0"/>
        <w:adjustRightInd w:val="0"/>
        <w:spacing w:line="616" w:lineRule="exact"/>
        <w:jc w:val="center"/>
        <w:rPr>
          <w:rFonts w:ascii="新宋体" w:hAnsi="新宋体" w:eastAsia="方正仿宋_GBK"/>
          <w:color w:val="000000"/>
          <w:w w:val="59"/>
          <w:szCs w:val="32"/>
        </w:rPr>
      </w:pPr>
    </w:p>
    <w:p w14:paraId="5912B443">
      <w:pPr>
        <w:overflowPunct w:val="0"/>
        <w:adjustRightInd w:val="0"/>
        <w:spacing w:line="616" w:lineRule="exact"/>
        <w:jc w:val="center"/>
        <w:rPr>
          <w:rFonts w:ascii="新宋体" w:hAnsi="新宋体" w:eastAsia="方正仿宋_GBK"/>
          <w:color w:val="000000"/>
          <w:sz w:val="32"/>
          <w:szCs w:val="32"/>
        </w:rPr>
      </w:pPr>
      <w:r>
        <w:rPr>
          <w:rFonts w:hint="eastAsia" w:ascii="新宋体" w:hAnsi="新宋体" w:eastAsia="方正仿宋_GBK" w:cs="文星仿宋"/>
          <w:color w:val="000000"/>
          <w:sz w:val="32"/>
          <w:szCs w:val="32"/>
        </w:rPr>
        <w:t>钢城政字〔</w:t>
      </w:r>
      <w:r>
        <w:rPr>
          <w:rFonts w:hint="eastAsia" w:ascii="新宋体" w:hAnsi="新宋体" w:eastAsia="方正仿宋_GBK" w:cs="新宋体"/>
          <w:color w:val="000000"/>
          <w:sz w:val="32"/>
          <w:szCs w:val="32"/>
        </w:rPr>
        <w:t>2025</w:t>
      </w:r>
      <w:r>
        <w:rPr>
          <w:rFonts w:hint="eastAsia" w:ascii="新宋体" w:hAnsi="新宋体" w:eastAsia="方正仿宋_GBK" w:cs="文星仿宋"/>
          <w:color w:val="000000"/>
          <w:sz w:val="32"/>
          <w:szCs w:val="32"/>
        </w:rPr>
        <w:t>〕</w:t>
      </w:r>
      <w:r>
        <w:rPr>
          <w:rFonts w:ascii="新宋体" w:hAnsi="新宋体" w:eastAsia="方正仿宋_GBK" w:cs="新宋体"/>
          <w:color w:val="000000"/>
          <w:sz w:val="32"/>
          <w:szCs w:val="32"/>
        </w:rPr>
        <w:t>5</w:t>
      </w:r>
      <w:r>
        <w:rPr>
          <w:rFonts w:hint="eastAsia" w:ascii="新宋体" w:hAnsi="新宋体" w:eastAsia="方正仿宋_GBK" w:cs="文星仿宋"/>
          <w:color w:val="000000"/>
          <w:sz w:val="32"/>
          <w:szCs w:val="32"/>
        </w:rPr>
        <w:t>号</w:t>
      </w:r>
    </w:p>
    <w:p w14:paraId="6BC5E368">
      <w:pPr>
        <w:overflowPunct w:val="0"/>
        <w:spacing w:line="536" w:lineRule="exact"/>
        <w:jc w:val="center"/>
        <w:rPr>
          <w:rFonts w:ascii="新宋体" w:hAnsi="新宋体" w:eastAsia="文星标宋"/>
          <w:color w:val="000000"/>
          <w:szCs w:val="32"/>
        </w:rPr>
      </w:pPr>
      <w:r>
        <w:rPr>
          <w:rFonts w:ascii="新宋体" w:hAnsi="新宋体" w:eastAsia="文星标宋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38735</wp:posOffset>
                </wp:positionV>
                <wp:extent cx="5687695" cy="0"/>
                <wp:effectExtent l="9525" t="10160" r="17780" b="184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.05pt;height:0pt;width:447.85pt;mso-position-horizontal:center;z-index:-251657216;mso-width-relative:page;mso-height-relative:page;" filled="f" stroked="t" coordsize="21600,21600" o:gfxdata="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ticP/UAAAABAEA&#10;AA8AAAAAAAAAAQAgAAAAIgAAAGRycy9kb3ducmV2LnhtbFBLAQIUABQAAAAIAIdO4kBBwk0R5QEA&#10;AKsDAAAOAAAAAAAAAAEAIAAAACMBAABkcnMvZTJvRG9jLnhtbFBLBQYAAAAABgAGAFkBAAB6BQAA&#10;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35198C5">
      <w:pPr>
        <w:overflowPunct w:val="0"/>
        <w:spacing w:line="520" w:lineRule="exact"/>
        <w:jc w:val="center"/>
        <w:rPr>
          <w:rFonts w:ascii="新宋体" w:hAnsi="新宋体" w:eastAsia="方正小标宋简体"/>
          <w:sz w:val="44"/>
          <w:szCs w:val="44"/>
        </w:rPr>
      </w:pPr>
      <w:r>
        <w:rPr>
          <w:rFonts w:hint="eastAsia" w:ascii="新宋体" w:hAnsi="新宋体" w:eastAsia="方正小标宋简体"/>
          <w:sz w:val="44"/>
          <w:szCs w:val="44"/>
        </w:rPr>
        <w:t>济南市钢城区人民政府</w:t>
      </w:r>
    </w:p>
    <w:p w14:paraId="4386BBCF">
      <w:pPr>
        <w:overflowPunct w:val="0"/>
        <w:spacing w:line="520" w:lineRule="exact"/>
        <w:jc w:val="center"/>
        <w:rPr>
          <w:rFonts w:ascii="新宋体" w:hAnsi="新宋体"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新宋体" w:hAnsi="新宋体" w:eastAsia="方正小标宋简体"/>
          <w:sz w:val="44"/>
          <w:szCs w:val="44"/>
        </w:rPr>
        <w:t>关于印发</w:t>
      </w:r>
      <w:r>
        <w:rPr>
          <w:rFonts w:hint="eastAsia" w:ascii="新宋体" w:hAnsi="新宋体" w:eastAsia="方正小标宋简体"/>
          <w:color w:val="000000"/>
          <w:kern w:val="0"/>
          <w:sz w:val="44"/>
          <w:szCs w:val="44"/>
          <w:lang w:bidi="ar"/>
        </w:rPr>
        <w:t>钢城区零基预算改革工作</w:t>
      </w:r>
    </w:p>
    <w:p w14:paraId="297565C3">
      <w:pPr>
        <w:overflowPunct w:val="0"/>
        <w:spacing w:line="520" w:lineRule="exact"/>
        <w:jc w:val="center"/>
        <w:rPr>
          <w:rFonts w:ascii="新宋体" w:hAnsi="新宋体" w:eastAsia="方正小标宋简体"/>
          <w:sz w:val="44"/>
          <w:szCs w:val="44"/>
        </w:rPr>
      </w:pPr>
      <w:r>
        <w:rPr>
          <w:rFonts w:hint="eastAsia" w:ascii="新宋体" w:hAnsi="新宋体" w:eastAsia="方正小标宋简体"/>
          <w:color w:val="000000"/>
          <w:kern w:val="0"/>
          <w:sz w:val="44"/>
          <w:szCs w:val="44"/>
          <w:lang w:bidi="ar"/>
        </w:rPr>
        <w:t>实施方案</w:t>
      </w:r>
      <w:r>
        <w:rPr>
          <w:rFonts w:hint="eastAsia" w:ascii="新宋体" w:hAnsi="新宋体" w:eastAsia="方正小标宋简体"/>
          <w:sz w:val="44"/>
          <w:szCs w:val="44"/>
        </w:rPr>
        <w:t>的通知</w:t>
      </w:r>
    </w:p>
    <w:p w14:paraId="5D6F6C48">
      <w:pPr>
        <w:overflowPunct w:val="0"/>
        <w:spacing w:line="520" w:lineRule="exact"/>
        <w:rPr>
          <w:rFonts w:ascii="新宋体" w:hAnsi="新宋体" w:eastAsia="方正仿宋_GBK"/>
          <w:sz w:val="32"/>
          <w:szCs w:val="32"/>
        </w:rPr>
      </w:pPr>
    </w:p>
    <w:p w14:paraId="7C23B93A">
      <w:pPr>
        <w:overflowPunct w:val="0"/>
        <w:spacing w:line="520" w:lineRule="exact"/>
        <w:rPr>
          <w:rFonts w:ascii="新宋体" w:hAnsi="新宋体" w:eastAsia="方正仿宋_GBK" w:cs="微软雅黑"/>
          <w:color w:val="000000"/>
          <w:sz w:val="32"/>
          <w:szCs w:val="32"/>
          <w:shd w:val="pct10" w:color="auto" w:fill="FFFFFF"/>
        </w:rPr>
      </w:pPr>
      <w:r>
        <w:rPr>
          <w:rFonts w:hint="eastAsia" w:ascii="新宋体" w:hAnsi="新宋体" w:eastAsia="方正仿宋_GBK"/>
          <w:sz w:val="32"/>
          <w:szCs w:val="32"/>
        </w:rPr>
        <w:t>各街道（功能区）办事处（管委会），区政府各部门，区属各企事业单位：</w:t>
      </w:r>
    </w:p>
    <w:p w14:paraId="63DE2C43">
      <w:pPr>
        <w:overflowPunct w:val="0"/>
        <w:spacing w:line="520" w:lineRule="exact"/>
        <w:ind w:firstLine="640" w:firstLineChars="200"/>
        <w:rPr>
          <w:rFonts w:ascii="新宋体" w:hAnsi="新宋体" w:eastAsia="方正仿宋_GBK"/>
          <w:sz w:val="32"/>
          <w:szCs w:val="32"/>
        </w:rPr>
      </w:pPr>
      <w:r>
        <w:rPr>
          <w:rFonts w:hint="eastAsia" w:ascii="新宋体" w:hAnsi="新宋体" w:eastAsia="方正仿宋_GBK"/>
          <w:sz w:val="32"/>
          <w:szCs w:val="32"/>
        </w:rPr>
        <w:t>《钢城区零基预算改革工作实施方案》已经区政府同意，现印发给你们，请认真组织实施。</w:t>
      </w:r>
    </w:p>
    <w:p w14:paraId="76C0E695">
      <w:pPr>
        <w:overflowPunct w:val="0"/>
        <w:spacing w:line="420" w:lineRule="exact"/>
        <w:ind w:firstLine="640" w:firstLineChars="200"/>
        <w:rPr>
          <w:rFonts w:ascii="新宋体" w:hAnsi="新宋体" w:eastAsia="方正仿宋_GBK"/>
          <w:sz w:val="32"/>
          <w:szCs w:val="32"/>
        </w:rPr>
      </w:pPr>
    </w:p>
    <w:p w14:paraId="30770AB5">
      <w:pPr>
        <w:overflowPunct w:val="0"/>
        <w:spacing w:line="420" w:lineRule="exact"/>
        <w:rPr>
          <w:rFonts w:ascii="新宋体" w:hAnsi="新宋体" w:eastAsia="方正仿宋_GBK"/>
          <w:sz w:val="32"/>
          <w:szCs w:val="32"/>
        </w:rPr>
      </w:pPr>
    </w:p>
    <w:p w14:paraId="2943ED9D">
      <w:pPr>
        <w:overflowPunct w:val="0"/>
        <w:spacing w:line="420" w:lineRule="exact"/>
        <w:rPr>
          <w:rFonts w:ascii="新宋体" w:hAnsi="新宋体" w:eastAsia="方正仿宋_GBK"/>
          <w:sz w:val="32"/>
          <w:szCs w:val="32"/>
        </w:rPr>
      </w:pPr>
    </w:p>
    <w:p w14:paraId="7FA562BA">
      <w:pPr>
        <w:wordWrap w:val="0"/>
        <w:overflowPunct w:val="0"/>
        <w:spacing w:line="540" w:lineRule="exact"/>
        <w:jc w:val="right"/>
        <w:rPr>
          <w:rFonts w:ascii="新宋体" w:hAnsi="新宋体" w:eastAsia="方正仿宋_GBK"/>
          <w:sz w:val="32"/>
          <w:szCs w:val="32"/>
        </w:rPr>
      </w:pPr>
      <w:r>
        <w:rPr>
          <w:rFonts w:hint="eastAsia" w:ascii="新宋体" w:hAnsi="新宋体" w:eastAsia="方正仿宋_GBK"/>
          <w:sz w:val="32"/>
          <w:szCs w:val="32"/>
        </w:rPr>
        <w:t xml:space="preserve">济南市钢城区人民政府      </w:t>
      </w:r>
    </w:p>
    <w:p w14:paraId="686BA893">
      <w:pPr>
        <w:wordWrap w:val="0"/>
        <w:overflowPunct w:val="0"/>
        <w:spacing w:line="540" w:lineRule="exact"/>
        <w:jc w:val="right"/>
        <w:rPr>
          <w:rFonts w:ascii="新宋体" w:hAnsi="新宋体" w:eastAsia="方正仿宋_GBK"/>
          <w:sz w:val="32"/>
          <w:szCs w:val="32"/>
        </w:rPr>
      </w:pPr>
      <w:r>
        <w:rPr>
          <w:rFonts w:hint="eastAsia" w:ascii="新宋体" w:hAnsi="新宋体" w:eastAsia="方正仿宋_GBK"/>
          <w:sz w:val="32"/>
          <w:szCs w:val="32"/>
        </w:rPr>
        <w:t>2025年9月1</w:t>
      </w:r>
      <w:r>
        <w:rPr>
          <w:rFonts w:ascii="新宋体" w:hAnsi="新宋体" w:eastAsia="方正仿宋_GBK"/>
          <w:sz w:val="32"/>
          <w:szCs w:val="32"/>
        </w:rPr>
        <w:t>7</w:t>
      </w:r>
      <w:r>
        <w:rPr>
          <w:rFonts w:hint="eastAsia" w:ascii="新宋体" w:hAnsi="新宋体" w:eastAsia="方正仿宋_GBK"/>
          <w:sz w:val="32"/>
          <w:szCs w:val="32"/>
        </w:rPr>
        <w:t xml:space="preserve">日       </w:t>
      </w:r>
      <w:r>
        <w:rPr>
          <w:rFonts w:ascii="新宋体" w:hAnsi="新宋体" w:eastAsia="方正仿宋_GBK"/>
          <w:sz w:val="32"/>
          <w:szCs w:val="32"/>
        </w:rPr>
        <w:t xml:space="preserve"> </w:t>
      </w:r>
    </w:p>
    <w:p w14:paraId="5CF41BD6">
      <w:pPr>
        <w:overflowPunct w:val="0"/>
        <w:spacing w:line="500" w:lineRule="exact"/>
        <w:ind w:firstLine="629"/>
        <w:jc w:val="left"/>
        <w:rPr>
          <w:rFonts w:ascii="新宋体" w:hAnsi="新宋体" w:eastAsia="方正仿宋_GBK"/>
          <w:sz w:val="32"/>
          <w:szCs w:val="32"/>
        </w:rPr>
      </w:pPr>
    </w:p>
    <w:p w14:paraId="055DCF97">
      <w:pPr>
        <w:overflowPunct w:val="0"/>
        <w:spacing w:line="540" w:lineRule="exact"/>
        <w:ind w:firstLine="640" w:firstLineChars="200"/>
        <w:jc w:val="left"/>
        <w:rPr>
          <w:rFonts w:ascii="新宋体" w:hAnsi="新宋体" w:eastAsia="方正仿宋_GBK"/>
          <w:sz w:val="32"/>
          <w:szCs w:val="32"/>
        </w:rPr>
      </w:pPr>
      <w:r>
        <w:rPr>
          <w:rFonts w:hint="eastAsia" w:ascii="新宋体" w:hAnsi="新宋体" w:eastAsia="方正仿宋_GBK"/>
          <w:sz w:val="32"/>
          <w:szCs w:val="32"/>
        </w:rPr>
        <w:t>（此件公开发布）</w:t>
      </w:r>
    </w:p>
    <w:p w14:paraId="18F21090">
      <w:pPr>
        <w:overflowPunct w:val="0"/>
        <w:spacing w:line="590" w:lineRule="exact"/>
        <w:jc w:val="center"/>
        <w:rPr>
          <w:rFonts w:ascii="新宋体" w:hAnsi="新宋体" w:eastAsia="方正仿宋_GBK" w:cs="方正小标宋简体"/>
          <w:sz w:val="44"/>
          <w:szCs w:val="44"/>
        </w:rPr>
      </w:pPr>
    </w:p>
    <w:p w14:paraId="4DAD8976">
      <w:pPr>
        <w:overflowPunct w:val="0"/>
        <w:spacing w:line="590" w:lineRule="exact"/>
        <w:jc w:val="center"/>
        <w:rPr>
          <w:rFonts w:ascii="新宋体" w:hAnsi="新宋体" w:eastAsia="方正小标宋简体" w:cs="方正小标宋简体"/>
          <w:sz w:val="44"/>
          <w:szCs w:val="44"/>
        </w:rPr>
      </w:pPr>
      <w:r>
        <w:rPr>
          <w:rFonts w:hint="eastAsia" w:ascii="新宋体" w:hAnsi="新宋体" w:eastAsia="方正小标宋简体" w:cs="方正小标宋简体"/>
          <w:sz w:val="44"/>
          <w:szCs w:val="44"/>
        </w:rPr>
        <w:t>钢城区零基预算改革工作实施方案</w:t>
      </w:r>
    </w:p>
    <w:p w14:paraId="33540D40">
      <w:pPr>
        <w:overflowPunct w:val="0"/>
        <w:spacing w:line="590" w:lineRule="exact"/>
        <w:jc w:val="center"/>
        <w:rPr>
          <w:rFonts w:ascii="新宋体" w:hAnsi="新宋体" w:eastAsia="方正仿宋_GBK"/>
          <w:sz w:val="32"/>
          <w:szCs w:val="32"/>
        </w:rPr>
      </w:pPr>
    </w:p>
    <w:p w14:paraId="00AFD72B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为推进财政科学管理，提高财政资源配置效率，切实发挥资金使用效益，根据《中华人民共和国预算法》及其实施条例、</w:t>
      </w:r>
      <w:r>
        <w:rPr>
          <w:rFonts w:hint="eastAsia" w:ascii="新宋体" w:hAnsi="新宋体" w:eastAsia="方正仿宋_GBK"/>
          <w:sz w:val="32"/>
          <w:szCs w:val="32"/>
        </w:rPr>
        <w:t>《济南市人民政府关于系统推进零基预算改革的实施意见》（济政发〔2024〕16号）及</w:t>
      </w:r>
      <w:r>
        <w:rPr>
          <w:rFonts w:hint="eastAsia" w:ascii="新宋体" w:hAnsi="新宋体" w:eastAsia="方正仿宋_GBK" w:cs="黑体"/>
          <w:sz w:val="32"/>
          <w:szCs w:val="32"/>
        </w:rPr>
        <w:t>《济南市人民政府办公厅关于持续深化零基预算改革做好</w:t>
      </w:r>
      <w:bookmarkStart w:id="1" w:name="_GoBack"/>
      <w:bookmarkEnd w:id="1"/>
      <w:r>
        <w:rPr>
          <w:rFonts w:hint="eastAsia" w:ascii="新宋体" w:hAnsi="新宋体" w:eastAsia="方正仿宋_GBK" w:cs="黑体"/>
          <w:sz w:val="32"/>
          <w:szCs w:val="32"/>
        </w:rPr>
        <w:t>2026年市级预算编制工作的通知》（济政办字〔2025〕18号）有关要求，结合钢城实际，制定本实施方案。</w:t>
      </w:r>
    </w:p>
    <w:p w14:paraId="211C6C2C">
      <w:pPr>
        <w:overflowPunct w:val="0"/>
        <w:spacing w:line="590" w:lineRule="exact"/>
        <w:ind w:firstLine="640" w:firstLineChars="200"/>
        <w:rPr>
          <w:rFonts w:ascii="新宋体" w:hAnsi="新宋体" w:eastAsia="黑体" w:cs="黑体"/>
          <w:sz w:val="32"/>
          <w:szCs w:val="32"/>
        </w:rPr>
      </w:pPr>
      <w:r>
        <w:rPr>
          <w:rFonts w:hint="eastAsia" w:ascii="新宋体" w:hAnsi="新宋体" w:eastAsia="黑体" w:cs="黑体"/>
          <w:sz w:val="32"/>
          <w:szCs w:val="32"/>
        </w:rPr>
        <w:t>一、工作要求</w:t>
      </w:r>
    </w:p>
    <w:p w14:paraId="3243DDB7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坚持以习近平新时代中国特色社会主义思想为指导，深入贯彻落实党的二十大和二十届二中、三中全会精神，坚持以人民为中心的发展思想，牢固树立过紧日子的理念。打破基数加增长的传统预算编制方式，建立以零为基点、以财力为基础、以绩效为依据的预算分配机制和管理体系，实现有限财政资源与有效政府目标相匹配，切实增强财政资源统筹效率和可持续发展能力，助力钢城经济社会高质量发展。</w:t>
      </w:r>
    </w:p>
    <w:p w14:paraId="51D9DC37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自编制2026年预算起，部署开展零基预算改革，争取用2-3年时间，建立完善相关改革制度体系，财政科学管理理念基本形成，零基预算实现全面贯通，基层财政运行更加平稳有序。</w:t>
      </w:r>
    </w:p>
    <w:p w14:paraId="4B02F017">
      <w:pPr>
        <w:overflowPunct w:val="0"/>
        <w:spacing w:line="590" w:lineRule="exact"/>
        <w:ind w:firstLine="640" w:firstLineChars="200"/>
        <w:rPr>
          <w:rFonts w:ascii="新宋体" w:hAnsi="新宋体" w:eastAsia="黑体" w:cs="黑体"/>
          <w:sz w:val="32"/>
          <w:szCs w:val="32"/>
        </w:rPr>
      </w:pPr>
      <w:r>
        <w:rPr>
          <w:rFonts w:hint="eastAsia" w:ascii="新宋体" w:hAnsi="新宋体" w:eastAsia="黑体" w:cs="黑体"/>
          <w:sz w:val="32"/>
          <w:szCs w:val="32"/>
        </w:rPr>
        <w:t>二、工作任务</w:t>
      </w:r>
    </w:p>
    <w:p w14:paraId="5295E909">
      <w:pPr>
        <w:overflowPunct w:val="0"/>
        <w:spacing w:line="590" w:lineRule="exact"/>
        <w:ind w:firstLine="640" w:firstLineChars="200"/>
        <w:rPr>
          <w:rFonts w:ascii="新宋体" w:hAnsi="新宋体" w:eastAsia="楷体_GB2312" w:cs="黑体"/>
          <w:sz w:val="32"/>
          <w:szCs w:val="32"/>
        </w:rPr>
      </w:pPr>
      <w:r>
        <w:rPr>
          <w:rFonts w:hint="eastAsia" w:ascii="新宋体" w:hAnsi="新宋体" w:eastAsia="楷体_GB2312" w:cs="黑体"/>
          <w:sz w:val="32"/>
          <w:szCs w:val="32"/>
        </w:rPr>
        <w:t>（一）规范支出政策管理。</w:t>
      </w:r>
    </w:p>
    <w:p w14:paraId="4C342C20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1.清理现有支出政策。全面梳理存量支出事项，扎实开展支出政策清理，对于政策到期或已无必要实施的，坚决予以取消。原则上3年以上支出政策全部取消，确需继续执行的，参照新增支出政策，重新开展事前绩效评估和削减支出分析，经区政府研究同意后执行。未按规定开展评估的不得安排预算。</w:t>
      </w:r>
    </w:p>
    <w:p w14:paraId="320910D7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2.建立“清单”分类编制。将“保基本民生、保工资、保运转”和债务还本付息等刚性支出作为必保支出单独核定，其他支出“清单化”编制支出预算。</w:t>
      </w:r>
    </w:p>
    <w:p w14:paraId="4A0E2414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⑴城市运行清单。主要是保障城市功能运转事项。</w:t>
      </w:r>
    </w:p>
    <w:p w14:paraId="48259123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仿宋_GB2312"/>
          <w:sz w:val="32"/>
          <w:szCs w:val="32"/>
        </w:rPr>
        <w:t>⑵基本公共服务清单。</w:t>
      </w:r>
      <w:r>
        <w:rPr>
          <w:rFonts w:hint="eastAsia" w:ascii="新宋体" w:hAnsi="新宋体" w:eastAsia="方正仿宋_GBK" w:cs="黑体"/>
          <w:sz w:val="32"/>
          <w:szCs w:val="32"/>
        </w:rPr>
        <w:t>主要是城乡基本公共服务支出。</w:t>
      </w:r>
    </w:p>
    <w:p w14:paraId="485157E5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⑶部门一般性支出清单。主要是各部门履职需要必须安排的支出任务。</w:t>
      </w:r>
    </w:p>
    <w:p w14:paraId="67E6A315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3.加强政策任务整合。优先用好上级已出台的支出政策，上级已出台的，原则上区级不再出台配套或叠加政策。对性质相同、用途相近、管理分散的任务加大整合力度，凡属“小、散、乱”以及目标不明显的，坚决不安排预算。政策任务涉及多部门安排支出的，统一由政策任务主管部门牵头管理。</w:t>
      </w:r>
    </w:p>
    <w:p w14:paraId="38F7E4A3">
      <w:pPr>
        <w:overflowPunct w:val="0"/>
        <w:spacing w:line="590" w:lineRule="exact"/>
        <w:ind w:firstLine="640" w:firstLineChars="200"/>
        <w:rPr>
          <w:rFonts w:ascii="新宋体" w:hAnsi="新宋体" w:eastAsia="楷体_GB2312" w:cs="黑体"/>
          <w:sz w:val="32"/>
          <w:szCs w:val="32"/>
        </w:rPr>
      </w:pPr>
      <w:r>
        <w:rPr>
          <w:rFonts w:hint="eastAsia" w:ascii="新宋体" w:hAnsi="新宋体" w:eastAsia="楷体_GB2312" w:cs="黑体"/>
          <w:sz w:val="32"/>
          <w:szCs w:val="32"/>
        </w:rPr>
        <w:t>（二）改革预算编审方式。</w:t>
      </w:r>
    </w:p>
    <w:p w14:paraId="6BB4DF57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4.建立分级排序机制。各部门按照区委、区政府工作安排，统筹各方面因素，将项目按照“ABC”分类，每一类中再按照重要性、成熟度排序。</w:t>
      </w:r>
    </w:p>
    <w:p w14:paraId="21DDE52C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⑴“A级”:国家和省、市、区统一规定，或通过其他正式决策程序，有明确具体支出项目、资金规模，需要本级安排资金保障的政策任务。</w:t>
      </w:r>
    </w:p>
    <w:p w14:paraId="517DE632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⑵“B级”:国家和省、市、区统一规定，或通过其他正式决策程序，但没有明确规定本级投入规模的政策任务。</w:t>
      </w:r>
    </w:p>
    <w:p w14:paraId="04E203C1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⑶“C级”:与部门职责相匹配，符合部门工作计划规划、事业发展需要的任务。</w:t>
      </w:r>
    </w:p>
    <w:p w14:paraId="732F21D3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5.健全预算编审机制。各部门要对申请项目的合法性、必要性以及资金安排的合理性、可行性负责，财政部门逐项审核部门提报项目的事前绩效评估报告。对于设立依据不充分、资金申请不科学的，财政部门直接予以剔除或调整。各部门要积极开展削减支出影响分析，做实实际需要，控制边际成本。各部门不得申请没有具体内容的“切块”预算，谋划支出事项不得与财政收支总量、增幅或生产总值层层挂钩。</w:t>
      </w:r>
    </w:p>
    <w:p w14:paraId="48B6CD9C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6.加强预算限额管理。财政部门要将</w:t>
      </w:r>
      <w:bookmarkStart w:id="0" w:name="OLE_LINK1"/>
      <w:r>
        <w:rPr>
          <w:rFonts w:hint="eastAsia" w:ascii="新宋体" w:hAnsi="新宋体" w:eastAsia="方正仿宋_GBK" w:cs="黑体"/>
          <w:sz w:val="32"/>
          <w:szCs w:val="32"/>
        </w:rPr>
        <w:t>“三保”支出、债务还本付息支出</w:t>
      </w:r>
      <w:bookmarkEnd w:id="0"/>
      <w:r>
        <w:rPr>
          <w:rFonts w:hint="eastAsia" w:ascii="新宋体" w:hAnsi="新宋体" w:eastAsia="方正仿宋_GBK" w:cs="黑体"/>
          <w:sz w:val="32"/>
          <w:szCs w:val="32"/>
        </w:rPr>
        <w:t>作为财力保障底线，统筹上级转移支付、政府债券和超长期国债等各类资金，尽力拓展可用财力规模，作为预算安排的上限。上限与底线之间的财力空间，作为可用财力限额。在财力限额内，对项目进行分类分级保障。</w:t>
      </w:r>
    </w:p>
    <w:p w14:paraId="51A4204B">
      <w:pPr>
        <w:overflowPunct w:val="0"/>
        <w:spacing w:line="590" w:lineRule="exact"/>
        <w:ind w:firstLine="640" w:firstLineChars="200"/>
        <w:rPr>
          <w:rFonts w:ascii="新宋体" w:hAnsi="新宋体" w:eastAsia="楷体_GB2312" w:cs="黑体"/>
          <w:sz w:val="32"/>
          <w:szCs w:val="32"/>
        </w:rPr>
      </w:pPr>
      <w:r>
        <w:rPr>
          <w:rFonts w:hint="eastAsia" w:ascii="新宋体" w:hAnsi="新宋体" w:eastAsia="楷体_GB2312" w:cs="黑体"/>
          <w:sz w:val="32"/>
          <w:szCs w:val="32"/>
        </w:rPr>
        <w:t>（三）深化配套措施改革。</w:t>
      </w:r>
    </w:p>
    <w:p w14:paraId="4DA6DDD4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7.健全支出标准体系。预算编制应详细列明资金测算过程，注明所采用的具体标准。以上级支出标准为上限，结合实际持续完善区级支出标准体系，作为零基预算的重要支撑。已有标准的项目支出，严格按标准编制；暂无标准的，结合实际需要、同类支出开支水平、项目评审结果和审计反映问题等情况，提出暂定标准,条件成熟后上升为正式标准。</w:t>
      </w:r>
      <w:r>
        <w:rPr>
          <w:rFonts w:hint="eastAsia" w:ascii="新宋体" w:hAnsi="新宋体" w:eastAsia="方正仿宋_GBK"/>
          <w:sz w:val="32"/>
          <w:szCs w:val="32"/>
        </w:rPr>
        <w:t>2025年，支出标准体系覆盖面达到50%,2026年达到80%，2027年，建立起基本完整的支出标准体系。</w:t>
      </w:r>
    </w:p>
    <w:p w14:paraId="137018BC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8.深化预算绩效管理。坚持绩效评价端口前移，深入开展事前绩效评估。新增支出项目及到期申请延续的项目，应开展事前绩效评估，未开展评估或评估未通过的，一律不得纳入预算安排。除“三保”及债务还本付息支出外，原则上其他支出项目均需开展反向成本效益分析，按照项目预算资金的70%，出具《削减支出影响分析报告》，无《削减支出影响分析报告》的不予纳入预算。</w:t>
      </w:r>
    </w:p>
    <w:p w14:paraId="08E1E774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9.加强财政数字化建设。全面深化预算管理一体化系统应用，推进预算编制全流程线上实施。加强信息共享，整合外部信息，提高人员支出、基本民生支出等自动化编制水平，提高工作效率和审核准确率，切实增强预算管理能力。</w:t>
      </w:r>
    </w:p>
    <w:p w14:paraId="168389B8">
      <w:pPr>
        <w:overflowPunct w:val="0"/>
        <w:spacing w:line="590" w:lineRule="exact"/>
        <w:ind w:firstLine="640" w:firstLineChars="200"/>
        <w:rPr>
          <w:rFonts w:ascii="新宋体" w:hAnsi="新宋体" w:eastAsia="楷体_GB2312" w:cs="黑体"/>
          <w:sz w:val="32"/>
          <w:szCs w:val="32"/>
        </w:rPr>
      </w:pPr>
      <w:r>
        <w:rPr>
          <w:rFonts w:hint="eastAsia" w:ascii="新宋体" w:hAnsi="新宋体" w:eastAsia="楷体_GB2312" w:cs="黑体"/>
          <w:sz w:val="32"/>
          <w:szCs w:val="32"/>
        </w:rPr>
        <w:t>（四）强化预算刚性约束。</w:t>
      </w:r>
    </w:p>
    <w:p w14:paraId="1113605B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10.加强财政资源统筹。将依托行政权力、政府信用、国有资源资产获取的收入全部纳入政府预算管理。严禁违规坐收坐支，不得随意扩大或隐瞒收入，未列入预算的收入不得安排支出。统筹用好上级转移支付、政府专项债券、政策性融资、超长期国债等资金，对符合上述资金投向的项目，优先通过上述资金解决。非财政拨款资金可以满足支出需要时，原则上不得申请财政拨款。</w:t>
      </w:r>
    </w:p>
    <w:p w14:paraId="69ED3793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11.加大存量资金盘活力度。建立部门资金定期清理机制，对资金来源实行穿透式审核，除中央和省、市明确规定可以保留使用的外，将违规从零余额账户转入资金、超期结转财政拨款、项目结余资金、无需再清算的暂收款项、无法识别来源的资金，以及经人大、审计、财政等监督检查认定应上缴财政等资金予以清收，统筹用于相关领域。</w:t>
      </w:r>
    </w:p>
    <w:p w14:paraId="078EB7BF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12.提高预算执行质量。配合零基预算财力限额管理，固化“三保”和债务还本付息支出的首要顺序。严格执行国库资金“四保”专户制度，“四保”预算优先安排，支出优先保障。坚持以人民为中心，持续巩固民生支出政策“第一清单”位置，确保民生改善更加稳固、更可持续。</w:t>
      </w:r>
    </w:p>
    <w:p w14:paraId="4D233EA6">
      <w:pPr>
        <w:overflowPunct w:val="0"/>
        <w:spacing w:line="590" w:lineRule="exact"/>
        <w:ind w:firstLine="640" w:firstLineChars="200"/>
        <w:rPr>
          <w:rFonts w:ascii="新宋体" w:hAnsi="新宋体" w:eastAsia="楷体_GB2312" w:cs="黑体"/>
          <w:sz w:val="32"/>
          <w:szCs w:val="32"/>
        </w:rPr>
      </w:pPr>
      <w:r>
        <w:rPr>
          <w:rFonts w:hint="eastAsia" w:ascii="新宋体" w:hAnsi="新宋体" w:eastAsia="楷体_GB2312" w:cs="黑体"/>
          <w:sz w:val="32"/>
          <w:szCs w:val="32"/>
        </w:rPr>
        <w:t>（五）落实习惯过紧日子要求。</w:t>
      </w:r>
    </w:p>
    <w:p w14:paraId="477D0137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13.加强一般性支出管控。压减区直部门日常公用经费定额标准。严格履行会议费、培训费审批程序，实行年度计划管理，严控数量、时间、规模，鼓励采取线上方式组织。严格实行“三公”经费限额管理，区级一般公共预算“三公”经费总量只减不增。从严审批因公出国（境）活动，不得安排照顾性、无实质内容的一般性出访。加强公务用车管理，从严控制车辆报废更新，据实节俭安排车辆运行经费，不得违规长期租车，不得超标准、超范围发放公务交通补贴。严明公务接待纪律，严格执行接待经费管理规定。</w:t>
      </w:r>
    </w:p>
    <w:p w14:paraId="7E4CDA2E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14.加强政府性投资项目管理。根据发展现状和财政可承受能力，按照“ABC”顺序及财力限额情况安排政府性投资项目，坚决取消超出实际需要的项目，杜绝“形象工程”、“政绩工程”以及因资金不足导致的“半拉子”工程。强化政府性投资项目审批流程管理，不得违规私自实施政府性投资项目，严禁“先施工、后招标”，加强控制价审核管理，未经审核的不得组织招投标或政府采购。</w:t>
      </w:r>
    </w:p>
    <w:p w14:paraId="5F43C4AD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方正仿宋_GBK" w:cs="黑体"/>
          <w:sz w:val="32"/>
          <w:szCs w:val="32"/>
        </w:rPr>
        <w:t>15.加强政府购买服务规范管理。严格按规定限定政府购买服务范围，不得将应由部门直接履职的事项采取政府购买服务方式实施，不得将人员招（聘）用和劳务派遣用工等事项纳入政府购买服务范围变相用工。加强政府购买服务需求管理，购买主体要合理确定购买服务需求，不得一边购买服务、一边养人办事。</w:t>
      </w:r>
    </w:p>
    <w:p w14:paraId="1841D53A">
      <w:pPr>
        <w:overflowPunct w:val="0"/>
        <w:spacing w:line="590" w:lineRule="exact"/>
        <w:ind w:firstLine="640" w:firstLineChars="200"/>
        <w:rPr>
          <w:rFonts w:ascii="新宋体" w:hAnsi="新宋体" w:eastAsia="黑体" w:cs="黑体"/>
          <w:sz w:val="32"/>
          <w:szCs w:val="32"/>
        </w:rPr>
      </w:pPr>
      <w:r>
        <w:rPr>
          <w:rFonts w:hint="eastAsia" w:ascii="新宋体" w:hAnsi="新宋体" w:eastAsia="黑体" w:cs="黑体"/>
          <w:sz w:val="32"/>
          <w:szCs w:val="32"/>
        </w:rPr>
        <w:t>三、组织保障</w:t>
      </w:r>
    </w:p>
    <w:p w14:paraId="40CB081E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楷体_GB2312" w:cs="黑体"/>
          <w:sz w:val="32"/>
          <w:szCs w:val="32"/>
        </w:rPr>
        <w:t>（一）强化责任意识。</w:t>
      </w:r>
      <w:r>
        <w:rPr>
          <w:rFonts w:hint="eastAsia" w:ascii="新宋体" w:hAnsi="新宋体" w:eastAsia="方正仿宋_GBK" w:cs="黑体"/>
          <w:sz w:val="32"/>
          <w:szCs w:val="32"/>
        </w:rPr>
        <w:t>各部门要高度重视零基预算改革工作，结合实际抓好贯彻落实，</w:t>
      </w:r>
      <w:r>
        <w:rPr>
          <w:rFonts w:hint="eastAsia" w:ascii="新宋体" w:hAnsi="新宋体" w:eastAsia="方正仿宋_GBK" w:cs="仿宋_GB2312"/>
          <w:sz w:val="32"/>
          <w:szCs w:val="32"/>
        </w:rPr>
        <w:t>把零基预算改革工作作为提高预算管理水平的重要内容，推动高质量发展的重要支撑。</w:t>
      </w:r>
      <w:r>
        <w:rPr>
          <w:rFonts w:hint="eastAsia" w:ascii="新宋体" w:hAnsi="新宋体" w:eastAsia="方正仿宋_GBK" w:cs="黑体"/>
          <w:sz w:val="32"/>
          <w:szCs w:val="32"/>
        </w:rPr>
        <w:t>财政部门要加强对零基预算改革工作的督促和指导，认真开展解读工作，不断总结经验,提高改革整体效能，扩大改革受益面。</w:t>
      </w:r>
    </w:p>
    <w:p w14:paraId="01297B24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  <w:r>
        <w:rPr>
          <w:rFonts w:hint="eastAsia" w:ascii="新宋体" w:hAnsi="新宋体" w:eastAsia="楷体_GB2312" w:cs="黑体"/>
          <w:sz w:val="32"/>
          <w:szCs w:val="32"/>
        </w:rPr>
        <w:t>（二）加强协同配合。</w:t>
      </w:r>
      <w:r>
        <w:rPr>
          <w:rFonts w:hint="eastAsia" w:ascii="新宋体" w:hAnsi="新宋体" w:eastAsia="方正仿宋_GBK" w:cs="黑体"/>
          <w:sz w:val="32"/>
          <w:szCs w:val="32"/>
        </w:rPr>
        <w:t>财政部门要切实发挥好牵头抓总作用，配齐配强零基预算改革的工作力量，</w:t>
      </w:r>
      <w:r>
        <w:rPr>
          <w:rFonts w:hint="eastAsia" w:ascii="新宋体" w:hAnsi="新宋体" w:eastAsia="方正仿宋_GBK" w:cs="仿宋_GB2312"/>
          <w:sz w:val="32"/>
          <w:szCs w:val="32"/>
        </w:rPr>
        <w:t>深化零基预算改革工作</w:t>
      </w:r>
      <w:r>
        <w:rPr>
          <w:rFonts w:hint="eastAsia" w:ascii="新宋体" w:hAnsi="新宋体" w:eastAsia="方正仿宋_GBK" w:cs="黑体"/>
          <w:sz w:val="32"/>
          <w:szCs w:val="32"/>
        </w:rPr>
        <w:t>。各部门要凝聚改革共识，加强与财政部门的沟通联系，切实形成改革合力，推进零基预算各项改革任务落实落地。</w:t>
      </w:r>
    </w:p>
    <w:p w14:paraId="7BABBFB2">
      <w:pPr>
        <w:overflowPunct w:val="0"/>
        <w:spacing w:line="590" w:lineRule="exact"/>
        <w:ind w:firstLine="640" w:firstLineChars="200"/>
        <w:rPr>
          <w:rFonts w:ascii="新宋体" w:hAnsi="新宋体" w:eastAsia="方正仿宋_GBK" w:cs="仿宋_GB2312"/>
          <w:sz w:val="32"/>
          <w:szCs w:val="32"/>
        </w:rPr>
      </w:pPr>
      <w:r>
        <w:rPr>
          <w:rFonts w:hint="eastAsia" w:ascii="新宋体" w:hAnsi="新宋体" w:eastAsia="楷体_GB2312" w:cs="黑体"/>
          <w:sz w:val="32"/>
          <w:szCs w:val="32"/>
        </w:rPr>
        <w:t>（三）提升改革质效。</w:t>
      </w:r>
      <w:r>
        <w:rPr>
          <w:rFonts w:hint="eastAsia" w:ascii="新宋体" w:hAnsi="新宋体" w:eastAsia="方正仿宋_GBK" w:cs="仿宋_GB2312"/>
          <w:sz w:val="32"/>
          <w:szCs w:val="32"/>
        </w:rPr>
        <w:t>财政部门及时跟进调度，定期研判评估改革效果，抓好成果运用，构建“改革有目标、实施有监督、效果有评价、结果有运用”的管理闭环，不断提升改革系统性、整体性，推动改革任务见效落地。</w:t>
      </w:r>
    </w:p>
    <w:p w14:paraId="75E50181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61B54D77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133B29D0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15237559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70F8D6B5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7429C17C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5DDBEFAD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27934D00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3068ACD6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52430B63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6065AC31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5ADAD036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0FB379ED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402ACC83">
      <w:pPr>
        <w:overflowPunct w:val="0"/>
        <w:spacing w:line="59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44DBE3CD">
      <w:pPr>
        <w:overflowPunct w:val="0"/>
        <w:spacing w:line="500" w:lineRule="exact"/>
        <w:ind w:firstLine="640" w:firstLineChars="200"/>
        <w:rPr>
          <w:rFonts w:ascii="新宋体" w:hAnsi="新宋体" w:eastAsia="方正仿宋_GBK" w:cs="黑体"/>
          <w:sz w:val="32"/>
          <w:szCs w:val="32"/>
        </w:rPr>
      </w:pPr>
    </w:p>
    <w:p w14:paraId="7F4CE4E7">
      <w:pPr>
        <w:tabs>
          <w:tab w:val="left" w:pos="1470"/>
        </w:tabs>
        <w:spacing w:line="240" w:lineRule="exact"/>
        <w:rPr>
          <w:rFonts w:ascii="新宋体" w:hAnsi="新宋体"/>
        </w:rPr>
      </w:pPr>
    </w:p>
    <w:p w14:paraId="18CABEFC">
      <w:pPr>
        <w:pStyle w:val="5"/>
        <w:widowControl w:val="0"/>
        <w:shd w:val="clear" w:color="auto" w:fill="FFFFFF"/>
        <w:wordWrap w:val="0"/>
        <w:overflowPunct w:val="0"/>
        <w:spacing w:before="0" w:beforeAutospacing="0" w:after="0" w:afterAutospacing="0" w:line="400" w:lineRule="exact"/>
        <w:jc w:val="both"/>
        <w:rPr>
          <w:rFonts w:ascii="新宋体" w:hAnsi="新宋体" w:eastAsia="方正仿宋_GBK" w:cs="文星仿宋"/>
          <w:color w:val="000000"/>
          <w:sz w:val="32"/>
          <w:szCs w:val="32"/>
        </w:rPr>
      </w:pPr>
    </w:p>
    <w:p w14:paraId="3D8A3EB7">
      <w:pPr>
        <w:pStyle w:val="12"/>
        <w:overflowPunct w:val="0"/>
        <w:spacing w:line="600" w:lineRule="exact"/>
        <w:ind w:firstLine="0" w:firstLineChars="0"/>
        <w:jc w:val="center"/>
        <w:rPr>
          <w:rFonts w:ascii="新宋体" w:hAnsi="新宋体" w:cs="黑体"/>
          <w:sz w:val="32"/>
          <w:szCs w:val="32"/>
        </w:rPr>
      </w:pPr>
      <w:r>
        <w:rPr>
          <w:rFonts w:hint="eastAsia" w:ascii="新宋体" w:hAnsi="新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467360</wp:posOffset>
                </wp:positionV>
                <wp:extent cx="5615940" cy="0"/>
                <wp:effectExtent l="0" t="0" r="2286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8pt;margin-top:36.8pt;height:0pt;width:442.2pt;z-index:251661312;mso-width-relative:page;mso-height-relative:page;" filled="f" stroked="t" coordsize="21600,21600" o:gfxdata="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n/g7NQAAAAHAQAADwAAAAAAAAABACAA&#10;AAAiAAAAZHJzL2Rvd25yZXYueG1sUEsBAhQAFAAAAAgAh07iQI1Y8cPYAQAAmwMAAA4AAAAAAAAA&#10;AQAgAAAAIwEAAGRycy9lMm9Eb2MueG1sUEsFBgAAAAAGAAYAWQEAAG0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新宋体" w:hAnsi="新宋体" w:cs="文星仿宋"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34290</wp:posOffset>
                </wp:positionV>
                <wp:extent cx="5615940" cy="0"/>
                <wp:effectExtent l="0" t="0" r="2286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8pt;margin-top:2.7pt;height:0pt;width:442.2pt;z-index:251660288;mso-width-relative:page;mso-height-relative:page;" filled="f" stroked="t" coordsize="21600,21600" o:gfxdata="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53qWD0wAAAAUBAAAPAAAAAAAAAAEAIAAA&#10;ACIAAABkcnMvZG93bnJldi54bWxQSwECFAAUAAAACACHTuJAIhRoudgBAACbAwAADgAAAAAAAAAB&#10;ACAAAAAiAQAAZHJzL2Uyb0RvYy54bWxQSwUGAAAAAAYABgBZAQAAb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cs="文星仿宋"/>
          <w:color w:val="000000"/>
          <w:kern w:val="0"/>
          <w:sz w:val="32"/>
          <w:szCs w:val="32"/>
        </w:rPr>
        <w:t>济南市钢城区人民政府办公室       2025年</w:t>
      </w:r>
      <w:r>
        <w:rPr>
          <w:rFonts w:ascii="新宋体" w:hAnsi="新宋体" w:cs="文星仿宋"/>
          <w:color w:val="000000"/>
          <w:kern w:val="0"/>
          <w:sz w:val="32"/>
          <w:szCs w:val="32"/>
        </w:rPr>
        <w:t>9</w:t>
      </w:r>
      <w:r>
        <w:rPr>
          <w:rFonts w:hint="eastAsia" w:ascii="新宋体" w:hAnsi="新宋体" w:cs="文星仿宋"/>
          <w:color w:val="000000"/>
          <w:kern w:val="0"/>
          <w:sz w:val="32"/>
          <w:szCs w:val="32"/>
        </w:rPr>
        <w:t>月</w:t>
      </w:r>
      <w:r>
        <w:rPr>
          <w:rFonts w:ascii="新宋体" w:hAnsi="新宋体" w:cs="文星仿宋"/>
          <w:color w:val="000000"/>
          <w:kern w:val="0"/>
          <w:sz w:val="32"/>
          <w:szCs w:val="32"/>
        </w:rPr>
        <w:t>17</w:t>
      </w:r>
      <w:r>
        <w:rPr>
          <w:rFonts w:hint="eastAsia" w:ascii="新宋体" w:hAnsi="新宋体" w:cs="文星仿宋"/>
          <w:color w:val="000000"/>
          <w:kern w:val="0"/>
          <w:sz w:val="32"/>
          <w:szCs w:val="32"/>
        </w:rPr>
        <w:t>日印发</w:t>
      </w:r>
    </w:p>
    <w:sectPr>
      <w:footerReference r:id="rId3" w:type="default"/>
      <w:pgSz w:w="11906" w:h="16838"/>
      <w:pgMar w:top="1985" w:right="1474" w:bottom="1701" w:left="1474" w:header="851" w:footer="140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  <w:rFonts w:hint="eastAsia" w:ascii="宋体" w:hAnsi="宋体"/>
        <w:sz w:val="28"/>
        <w:szCs w:val="28"/>
      </w:rPr>
      <w:id w:val="-2052903570"/>
      <w:docPartObj>
        <w:docPartGallery w:val="AutoText"/>
      </w:docPartObj>
    </w:sdtPr>
    <w:sdtEndPr>
      <w:rPr>
        <w:rStyle w:val="8"/>
        <w:rFonts w:hint="eastAsia" w:ascii="宋体" w:hAnsi="宋体"/>
        <w:sz w:val="28"/>
        <w:szCs w:val="28"/>
      </w:rPr>
    </w:sdtEndPr>
    <w:sdtContent>
      <w:p w14:paraId="525B21BD">
        <w:pPr>
          <w:framePr w:wrap="around" w:vAnchor="text" w:hAnchor="margin" w:xAlign="outside" w:y="1"/>
          <w:rPr>
            <w:rStyle w:val="8"/>
            <w:rFonts w:ascii="宋体" w:hAnsi="宋体"/>
            <w:sz w:val="28"/>
            <w:szCs w:val="28"/>
          </w:rPr>
        </w:pPr>
        <w:r>
          <w:rPr>
            <w:rStyle w:val="8"/>
            <w:rFonts w:hint="eastAsia" w:ascii="宋体" w:hAnsi="宋体"/>
            <w:sz w:val="28"/>
            <w:szCs w:val="28"/>
          </w:rPr>
          <w:t xml:space="preserve">— </w:t>
        </w:r>
        <w:r>
          <w:rPr>
            <w:rStyle w:val="8"/>
            <w:rFonts w:ascii="宋体" w:hAnsi="宋体"/>
            <w:sz w:val="28"/>
            <w:szCs w:val="28"/>
          </w:rPr>
          <w:fldChar w:fldCharType="begin"/>
        </w:r>
        <w:r>
          <w:rPr>
            <w:rStyle w:val="8"/>
            <w:rFonts w:ascii="宋体" w:hAnsi="宋体"/>
            <w:sz w:val="28"/>
            <w:szCs w:val="28"/>
          </w:rPr>
          <w:instrText xml:space="preserve"> PAGE </w:instrText>
        </w:r>
        <w:r>
          <w:rPr>
            <w:rStyle w:val="8"/>
            <w:rFonts w:ascii="宋体" w:hAnsi="宋体"/>
            <w:sz w:val="28"/>
            <w:szCs w:val="28"/>
          </w:rPr>
          <w:fldChar w:fldCharType="separate"/>
        </w:r>
        <w:r>
          <w:rPr>
            <w:rStyle w:val="8"/>
            <w:rFonts w:ascii="宋体" w:hAnsi="宋体"/>
            <w:sz w:val="28"/>
            <w:szCs w:val="28"/>
          </w:rPr>
          <w:t>2</w:t>
        </w:r>
        <w:r>
          <w:rPr>
            <w:rStyle w:val="8"/>
            <w:rFonts w:ascii="宋体" w:hAnsi="宋体"/>
            <w:sz w:val="28"/>
            <w:szCs w:val="28"/>
          </w:rPr>
          <w:fldChar w:fldCharType="end"/>
        </w:r>
        <w:r>
          <w:rPr>
            <w:rStyle w:val="8"/>
            <w:rFonts w:ascii="宋体" w:hAnsi="宋体"/>
            <w:sz w:val="28"/>
            <w:szCs w:val="28"/>
          </w:rPr>
          <w:t xml:space="preserve"> </w:t>
        </w:r>
        <w:r>
          <w:rPr>
            <w:rStyle w:val="8"/>
            <w:rFonts w:hint="eastAsia" w:ascii="宋体" w:hAnsi="宋体"/>
            <w:sz w:val="28"/>
            <w:szCs w:val="28"/>
          </w:rPr>
          <w:t>—</w:t>
        </w:r>
      </w:p>
    </w:sdtContent>
  </w:sdt>
  <w:p w14:paraId="1F4F681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ED"/>
    <w:rsid w:val="000066F8"/>
    <w:rsid w:val="00007B1F"/>
    <w:rsid w:val="00024061"/>
    <w:rsid w:val="00027139"/>
    <w:rsid w:val="00036192"/>
    <w:rsid w:val="0006352B"/>
    <w:rsid w:val="00067B2D"/>
    <w:rsid w:val="00086A74"/>
    <w:rsid w:val="000955B9"/>
    <w:rsid w:val="000964D0"/>
    <w:rsid w:val="000A1030"/>
    <w:rsid w:val="000A7185"/>
    <w:rsid w:val="000E3AE2"/>
    <w:rsid w:val="000F0E40"/>
    <w:rsid w:val="00136CC1"/>
    <w:rsid w:val="00161DA8"/>
    <w:rsid w:val="00167A1D"/>
    <w:rsid w:val="00193DFF"/>
    <w:rsid w:val="00195433"/>
    <w:rsid w:val="001A3F9B"/>
    <w:rsid w:val="001B6606"/>
    <w:rsid w:val="001C0DEA"/>
    <w:rsid w:val="001D22C4"/>
    <w:rsid w:val="002073B4"/>
    <w:rsid w:val="0023082A"/>
    <w:rsid w:val="00236576"/>
    <w:rsid w:val="00244F5A"/>
    <w:rsid w:val="0025075A"/>
    <w:rsid w:val="00261661"/>
    <w:rsid w:val="00277477"/>
    <w:rsid w:val="00281E98"/>
    <w:rsid w:val="00293BED"/>
    <w:rsid w:val="002A7BEE"/>
    <w:rsid w:val="002C4A4B"/>
    <w:rsid w:val="002D6434"/>
    <w:rsid w:val="002F6811"/>
    <w:rsid w:val="003122F6"/>
    <w:rsid w:val="0031423A"/>
    <w:rsid w:val="00317D81"/>
    <w:rsid w:val="003331DC"/>
    <w:rsid w:val="00333408"/>
    <w:rsid w:val="00343983"/>
    <w:rsid w:val="00355FBB"/>
    <w:rsid w:val="00362FD8"/>
    <w:rsid w:val="00371F15"/>
    <w:rsid w:val="00392AF6"/>
    <w:rsid w:val="003A1869"/>
    <w:rsid w:val="003B48F9"/>
    <w:rsid w:val="003B6CCA"/>
    <w:rsid w:val="004038C7"/>
    <w:rsid w:val="00412E56"/>
    <w:rsid w:val="00427088"/>
    <w:rsid w:val="00427654"/>
    <w:rsid w:val="004427A6"/>
    <w:rsid w:val="00451E28"/>
    <w:rsid w:val="00491104"/>
    <w:rsid w:val="004D27AF"/>
    <w:rsid w:val="0050002A"/>
    <w:rsid w:val="00504966"/>
    <w:rsid w:val="00526F4A"/>
    <w:rsid w:val="005279DC"/>
    <w:rsid w:val="00532C4A"/>
    <w:rsid w:val="005373A4"/>
    <w:rsid w:val="00555C49"/>
    <w:rsid w:val="005811F6"/>
    <w:rsid w:val="005A4F01"/>
    <w:rsid w:val="005C50E7"/>
    <w:rsid w:val="005E1883"/>
    <w:rsid w:val="005F43CA"/>
    <w:rsid w:val="005F6CF5"/>
    <w:rsid w:val="00641784"/>
    <w:rsid w:val="00652618"/>
    <w:rsid w:val="006544A7"/>
    <w:rsid w:val="006646F4"/>
    <w:rsid w:val="00672523"/>
    <w:rsid w:val="006906B5"/>
    <w:rsid w:val="006920CE"/>
    <w:rsid w:val="00696BD4"/>
    <w:rsid w:val="006A067B"/>
    <w:rsid w:val="006A22F5"/>
    <w:rsid w:val="006C2B76"/>
    <w:rsid w:val="006D168A"/>
    <w:rsid w:val="006E1114"/>
    <w:rsid w:val="006E5252"/>
    <w:rsid w:val="006F1D64"/>
    <w:rsid w:val="0076353E"/>
    <w:rsid w:val="00772212"/>
    <w:rsid w:val="0078344E"/>
    <w:rsid w:val="00796DBA"/>
    <w:rsid w:val="007A559B"/>
    <w:rsid w:val="007C3DDB"/>
    <w:rsid w:val="007C48A3"/>
    <w:rsid w:val="007C7BD1"/>
    <w:rsid w:val="007E057E"/>
    <w:rsid w:val="007F1D2B"/>
    <w:rsid w:val="00803DE2"/>
    <w:rsid w:val="008137CA"/>
    <w:rsid w:val="0083339D"/>
    <w:rsid w:val="00850778"/>
    <w:rsid w:val="00876323"/>
    <w:rsid w:val="00890424"/>
    <w:rsid w:val="008B5697"/>
    <w:rsid w:val="008B5DDE"/>
    <w:rsid w:val="008C21ED"/>
    <w:rsid w:val="008C2C6E"/>
    <w:rsid w:val="008C5A4E"/>
    <w:rsid w:val="008E6C94"/>
    <w:rsid w:val="008E7C48"/>
    <w:rsid w:val="00904948"/>
    <w:rsid w:val="009212F2"/>
    <w:rsid w:val="009264D9"/>
    <w:rsid w:val="00930255"/>
    <w:rsid w:val="009474CB"/>
    <w:rsid w:val="009611FE"/>
    <w:rsid w:val="00971260"/>
    <w:rsid w:val="009A4050"/>
    <w:rsid w:val="009B1F94"/>
    <w:rsid w:val="009C0D0E"/>
    <w:rsid w:val="009D2477"/>
    <w:rsid w:val="009D7AD5"/>
    <w:rsid w:val="00A10075"/>
    <w:rsid w:val="00A239F5"/>
    <w:rsid w:val="00A35D89"/>
    <w:rsid w:val="00A43FE0"/>
    <w:rsid w:val="00A53FA6"/>
    <w:rsid w:val="00A56363"/>
    <w:rsid w:val="00A87DD6"/>
    <w:rsid w:val="00AB4F5A"/>
    <w:rsid w:val="00AB53EA"/>
    <w:rsid w:val="00B30679"/>
    <w:rsid w:val="00B571C8"/>
    <w:rsid w:val="00B57D10"/>
    <w:rsid w:val="00B71292"/>
    <w:rsid w:val="00B94875"/>
    <w:rsid w:val="00BD1FE0"/>
    <w:rsid w:val="00C03C1B"/>
    <w:rsid w:val="00C3253E"/>
    <w:rsid w:val="00C50159"/>
    <w:rsid w:val="00C56250"/>
    <w:rsid w:val="00C86AC5"/>
    <w:rsid w:val="00C91EDF"/>
    <w:rsid w:val="00CB1482"/>
    <w:rsid w:val="00CC0725"/>
    <w:rsid w:val="00CC194D"/>
    <w:rsid w:val="00CF4957"/>
    <w:rsid w:val="00D10A85"/>
    <w:rsid w:val="00D16CA8"/>
    <w:rsid w:val="00D47626"/>
    <w:rsid w:val="00D73452"/>
    <w:rsid w:val="00D81EFD"/>
    <w:rsid w:val="00DA2495"/>
    <w:rsid w:val="00DA329A"/>
    <w:rsid w:val="00DA4E22"/>
    <w:rsid w:val="00DA6B29"/>
    <w:rsid w:val="00DD41FF"/>
    <w:rsid w:val="00DF3D48"/>
    <w:rsid w:val="00E03127"/>
    <w:rsid w:val="00E27796"/>
    <w:rsid w:val="00E3167A"/>
    <w:rsid w:val="00E32194"/>
    <w:rsid w:val="00E351F9"/>
    <w:rsid w:val="00E67A90"/>
    <w:rsid w:val="00E67B56"/>
    <w:rsid w:val="00E76C67"/>
    <w:rsid w:val="00EB119D"/>
    <w:rsid w:val="00EB4ACD"/>
    <w:rsid w:val="00EC2775"/>
    <w:rsid w:val="00EE59C1"/>
    <w:rsid w:val="00EF781D"/>
    <w:rsid w:val="00F02015"/>
    <w:rsid w:val="00F23F0E"/>
    <w:rsid w:val="00F86206"/>
    <w:rsid w:val="00FB4C58"/>
    <w:rsid w:val="00FE261D"/>
    <w:rsid w:val="00FE374A"/>
    <w:rsid w:val="00FF4E95"/>
    <w:rsid w:val="05716AD7"/>
    <w:rsid w:val="05C4150A"/>
    <w:rsid w:val="064C5E0F"/>
    <w:rsid w:val="07037734"/>
    <w:rsid w:val="2C2B40D8"/>
    <w:rsid w:val="41476898"/>
    <w:rsid w:val="4BE86505"/>
    <w:rsid w:val="4CF008F7"/>
    <w:rsid w:val="54372497"/>
    <w:rsid w:val="71673606"/>
    <w:rsid w:val="7A6E2A7B"/>
    <w:rsid w:val="7EA6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Calibri" w:hAnsi="Calibri" w:eastAsia="方正仿宋_GBK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3375</Words>
  <Characters>3444</Characters>
  <Lines>25</Lines>
  <Paragraphs>7</Paragraphs>
  <TotalTime>21</TotalTime>
  <ScaleCrop>false</ScaleCrop>
  <LinksUpToDate>false</LinksUpToDate>
  <CharactersWithSpaces>3465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2025-09-01T03:13:00Z</dcterms:created>
  <dc:creator>Administrator</dc:creator>
  <cp:lastModifiedBy>要什么自行车</cp:lastModifiedBy>
  <cp:lastPrinted>2025-10-14T07:35:54Z</cp:lastPrinted>
  <dcterms:modified xsi:type="dcterms:W3CDTF">2025-10-14T07:36:05Z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eyJoZGlkIjoiOTRkNDgxY2Y3MTc2MzI3ZWVjMDY4MzkzZGJmODk1NjAiLCJ1c2VySWQiOiI2NzcyMjg0OTIifQ==</vt:lpwstr>
  </property>
  <property fmtid="{D5CDD505-2E9C-101B-9397-08002B2CF9AE}" pid="4" name="ICV">
    <vt:lpwstr>E16323FD87BD4F3F8DF450532144EBA2_12</vt:lpwstr>
  </property>
</Properties>
</file>