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32C8C">
      <w:pPr>
        <w:pStyle w:val="2"/>
        <w:spacing w:line="240" w:lineRule="exact"/>
        <w:jc w:val="center"/>
        <w:rPr>
          <w:rFonts w:ascii="新宋体" w:hAnsi="新宋体" w:eastAsia="方正小标宋简体"/>
          <w:bCs/>
          <w:color w:val="FF0000"/>
          <w:spacing w:val="-2"/>
          <w:w w:val="51"/>
          <w:sz w:val="144"/>
          <w:szCs w:val="144"/>
        </w:rPr>
      </w:pPr>
      <w:bookmarkStart w:id="0" w:name="_GoBack"/>
      <w:bookmarkEnd w:id="0"/>
    </w:p>
    <w:p w14:paraId="72E771D2">
      <w:pPr>
        <w:pStyle w:val="2"/>
        <w:spacing w:line="240" w:lineRule="exact"/>
        <w:jc w:val="center"/>
        <w:rPr>
          <w:rFonts w:ascii="新宋体" w:hAnsi="新宋体" w:eastAsia="方正小标宋简体"/>
          <w:bCs/>
          <w:color w:val="FF0000"/>
          <w:spacing w:val="-2"/>
          <w:w w:val="51"/>
          <w:sz w:val="144"/>
          <w:szCs w:val="144"/>
        </w:rPr>
      </w:pPr>
    </w:p>
    <w:p w14:paraId="7D59D03E">
      <w:pPr>
        <w:pStyle w:val="2"/>
        <w:spacing w:line="240" w:lineRule="exact"/>
        <w:jc w:val="center"/>
        <w:rPr>
          <w:rFonts w:ascii="新宋体" w:hAnsi="新宋体" w:eastAsia="方正小标宋简体"/>
          <w:bCs/>
          <w:color w:val="FF0000"/>
          <w:spacing w:val="-2"/>
          <w:w w:val="51"/>
          <w:sz w:val="144"/>
          <w:szCs w:val="144"/>
        </w:rPr>
      </w:pPr>
    </w:p>
    <w:p w14:paraId="5F11528A">
      <w:pPr>
        <w:pStyle w:val="2"/>
        <w:jc w:val="center"/>
        <w:rPr>
          <w:rFonts w:ascii="新宋体" w:hAnsi="新宋体" w:eastAsia="方正小标宋简体"/>
          <w:color w:val="FF0000"/>
          <w:spacing w:val="-2"/>
          <w:w w:val="51"/>
          <w:sz w:val="144"/>
          <w:szCs w:val="144"/>
        </w:rPr>
      </w:pPr>
      <w:r>
        <w:rPr>
          <w:rFonts w:hint="eastAsia" w:ascii="新宋体" w:hAnsi="新宋体" w:eastAsia="方正小标宋简体" w:cs="方正小标宋简体"/>
          <w:color w:val="FF0000"/>
          <w:spacing w:val="-2"/>
          <w:w w:val="51"/>
          <w:sz w:val="144"/>
          <w:szCs w:val="144"/>
        </w:rPr>
        <w:t>济南市钢城区人民政府文件</w:t>
      </w:r>
    </w:p>
    <w:p w14:paraId="28C2FCD4">
      <w:pPr>
        <w:pStyle w:val="2"/>
        <w:spacing w:line="616" w:lineRule="exact"/>
        <w:jc w:val="center"/>
        <w:rPr>
          <w:rFonts w:ascii="新宋体" w:hAnsi="新宋体" w:eastAsia="方正小标宋简体"/>
          <w:color w:val="000000"/>
          <w:spacing w:val="48"/>
          <w:w w:val="47"/>
          <w:sz w:val="150"/>
          <w:szCs w:val="150"/>
        </w:rPr>
      </w:pPr>
      <w:r>
        <w:rPr>
          <w:rFonts w:ascii="新宋体" w:hAnsi="新宋体" w:cs="宋体"/>
        </w:rPr>
        <w:pict>
          <v:line id="_x0000_s2050" o:spid="_x0000_s2050" o:spt="20" style="position:absolute;left:0pt;margin-top:3.35pt;height:0pt;width:440.8pt;mso-position-horizontal:center;z-index:-251657216;mso-width-relative:page;mso-height-relative:page;" stroked="t" coordsize="21600,21600">
            <v:path arrowok="t"/>
            <v:fill focussize="0,0"/>
            <v:stroke weight="1.5pt" color="#FFFFFF"/>
            <v:imagedata o:title=""/>
            <o:lock v:ext="edit"/>
          </v:line>
        </w:pict>
      </w:r>
    </w:p>
    <w:p w14:paraId="1429CB43">
      <w:pPr>
        <w:autoSpaceDE w:val="0"/>
        <w:autoSpaceDN w:val="0"/>
        <w:adjustRightInd w:val="0"/>
        <w:spacing w:line="616" w:lineRule="exact"/>
        <w:jc w:val="center"/>
        <w:rPr>
          <w:rFonts w:ascii="新宋体" w:hAnsi="新宋体" w:eastAsia="文星仿宋"/>
          <w:b/>
          <w:color w:val="000000"/>
          <w:sz w:val="32"/>
          <w:szCs w:val="32"/>
        </w:rPr>
      </w:pPr>
      <w:r>
        <w:rPr>
          <w:rFonts w:hint="eastAsia" w:ascii="新宋体" w:hAnsi="新宋体" w:eastAsia="文星仿宋" w:cs="文星仿宋"/>
          <w:b/>
          <w:color w:val="000000"/>
          <w:sz w:val="32"/>
          <w:szCs w:val="32"/>
        </w:rPr>
        <w:t>钢城政发〔</w:t>
      </w:r>
      <w:r>
        <w:rPr>
          <w:rFonts w:ascii="新宋体" w:hAnsi="新宋体" w:eastAsia="文星仿宋" w:cs="新宋体"/>
          <w:b/>
          <w:color w:val="000000"/>
          <w:sz w:val="32"/>
          <w:szCs w:val="32"/>
        </w:rPr>
        <w:t>20</w:t>
      </w:r>
      <w:r>
        <w:rPr>
          <w:rFonts w:hint="eastAsia" w:ascii="新宋体" w:hAnsi="新宋体" w:eastAsia="文星仿宋" w:cs="新宋体"/>
          <w:b/>
          <w:color w:val="000000"/>
          <w:sz w:val="32"/>
          <w:szCs w:val="32"/>
        </w:rPr>
        <w:t>22</w:t>
      </w:r>
      <w:r>
        <w:rPr>
          <w:rFonts w:hint="eastAsia" w:ascii="新宋体" w:hAnsi="新宋体" w:eastAsia="文星仿宋" w:cs="文星仿宋"/>
          <w:b/>
          <w:color w:val="000000"/>
          <w:sz w:val="32"/>
          <w:szCs w:val="32"/>
        </w:rPr>
        <w:t>〕</w:t>
      </w:r>
      <w:r>
        <w:rPr>
          <w:rFonts w:hint="eastAsia" w:ascii="新宋体" w:hAnsi="新宋体" w:eastAsia="文星仿宋" w:cs="新宋体"/>
          <w:b/>
          <w:color w:val="000000"/>
          <w:sz w:val="32"/>
          <w:szCs w:val="32"/>
        </w:rPr>
        <w:t>3</w:t>
      </w:r>
      <w:r>
        <w:rPr>
          <w:rFonts w:hint="eastAsia" w:ascii="新宋体" w:hAnsi="新宋体" w:eastAsia="文星仿宋" w:cs="文星仿宋"/>
          <w:b/>
          <w:color w:val="000000"/>
          <w:sz w:val="32"/>
          <w:szCs w:val="32"/>
        </w:rPr>
        <w:t>号</w:t>
      </w:r>
    </w:p>
    <w:p w14:paraId="5788312C">
      <w:pPr>
        <w:spacing w:line="560" w:lineRule="exact"/>
        <w:jc w:val="center"/>
        <w:rPr>
          <w:rFonts w:ascii="新宋体" w:hAnsi="新宋体" w:eastAsia="文星简小标宋"/>
          <w:color w:val="000000"/>
          <w:sz w:val="44"/>
          <w:szCs w:val="44"/>
        </w:rPr>
      </w:pPr>
      <w:r>
        <w:rPr>
          <w:rFonts w:ascii="新宋体" w:hAnsi="新宋体" w:cs="Calibri"/>
          <w:color w:val="000000"/>
          <w:szCs w:val="21"/>
        </w:rPr>
        <w:pict>
          <v:line id="_x0000_s2051" o:spid="_x0000_s2051" o:spt="20" style="position:absolute;left:0pt;margin-left:0.55pt;margin-top:5.6pt;height:0pt;width:440.8pt;z-index:-251657216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 w14:paraId="1027D71F"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Style w:val="8"/>
          <w:rFonts w:eastAsia="文星标宋" w:cs="文星标宋"/>
          <w:color w:val="000000" w:themeColor="text1"/>
          <w:sz w:val="44"/>
          <w:szCs w:val="44"/>
        </w:rPr>
      </w:pPr>
      <w:r>
        <w:rPr>
          <w:rStyle w:val="8"/>
          <w:rFonts w:hint="eastAsia" w:eastAsia="文星标宋" w:cs="文星标宋"/>
          <w:color w:val="000000" w:themeColor="text1"/>
          <w:sz w:val="44"/>
          <w:szCs w:val="44"/>
        </w:rPr>
        <w:t>济南市钢城区人民政府</w:t>
      </w:r>
    </w:p>
    <w:p w14:paraId="188F7266"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Style w:val="8"/>
          <w:rFonts w:eastAsia="文星标宋" w:cs="文星标宋"/>
          <w:color w:val="000000" w:themeColor="text1"/>
          <w:sz w:val="44"/>
          <w:szCs w:val="44"/>
        </w:rPr>
      </w:pPr>
      <w:r>
        <w:rPr>
          <w:rStyle w:val="8"/>
          <w:rFonts w:hint="eastAsia" w:eastAsia="文星标宋" w:cs="文星标宋"/>
          <w:color w:val="000000" w:themeColor="text1"/>
          <w:sz w:val="44"/>
          <w:szCs w:val="44"/>
        </w:rPr>
        <w:t>关于鼓励扶持工业企业高质量发展的</w:t>
      </w:r>
    </w:p>
    <w:p w14:paraId="44E17A5C"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Style w:val="8"/>
          <w:rFonts w:eastAsia="文星标宋" w:cs="文星标宋"/>
          <w:color w:val="000000" w:themeColor="text1"/>
          <w:sz w:val="44"/>
          <w:szCs w:val="44"/>
        </w:rPr>
      </w:pPr>
      <w:r>
        <w:rPr>
          <w:rStyle w:val="8"/>
          <w:rFonts w:hint="eastAsia" w:eastAsia="文星标宋" w:cs="文星标宋"/>
          <w:color w:val="000000" w:themeColor="text1"/>
          <w:sz w:val="44"/>
          <w:szCs w:val="44"/>
        </w:rPr>
        <w:t>六条意见</w:t>
      </w:r>
    </w:p>
    <w:p w14:paraId="77ECC821">
      <w:pPr>
        <w:adjustRightInd w:val="0"/>
        <w:snapToGrid w:val="0"/>
        <w:spacing w:line="616" w:lineRule="exact"/>
        <w:rPr>
          <w:rFonts w:ascii="宋体" w:hAnsi="宋体" w:eastAsia="文星仿宋"/>
          <w:b/>
          <w:color w:val="000000" w:themeColor="text1"/>
          <w:sz w:val="32"/>
          <w:szCs w:val="32"/>
        </w:rPr>
      </w:pPr>
    </w:p>
    <w:p w14:paraId="1E6F61C4">
      <w:pPr>
        <w:adjustRightInd w:val="0"/>
        <w:snapToGrid w:val="0"/>
        <w:spacing w:line="616" w:lineRule="exact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各街道（功能区）办事处（管委会），区政府各部门，区属各企事业单位：</w:t>
      </w:r>
    </w:p>
    <w:p w14:paraId="2EE29689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为贯彻落实工业强区战略，促进全区工业企业转型发展、创新发展、绿色发展、开放发展、高质量发展，特制定本意见。</w:t>
      </w:r>
    </w:p>
    <w:p w14:paraId="61122CF8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黑体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黑体"/>
          <w:b/>
          <w:color w:val="000000" w:themeColor="text1"/>
          <w:sz w:val="32"/>
          <w:szCs w:val="32"/>
        </w:rPr>
        <w:t>一、鼓励智能化改造</w:t>
      </w:r>
    </w:p>
    <w:p w14:paraId="5CE1B408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对当年完成投资额500万元以上进行整车间、整工厂智能化改造的企业，在市级奖补投资额15%、20%的基础上，区财政迭加奖励投资额的15%、20%，最高不超过200万元。</w:t>
      </w:r>
    </w:p>
    <w:p w14:paraId="4753E7F2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对列入国家级、省级、市级智能制造试点示范及标杆项目的企业，在市级奖励300万元、200万元、100万元的基础上，区财政迭加奖励100万元、50万元、30万元。</w:t>
      </w:r>
    </w:p>
    <w:p w14:paraId="39F62D47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黑体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黑体"/>
          <w:b/>
          <w:color w:val="000000" w:themeColor="text1"/>
          <w:sz w:val="32"/>
          <w:szCs w:val="32"/>
        </w:rPr>
        <w:t>二、鼓励扩产扩能</w:t>
      </w:r>
    </w:p>
    <w:p w14:paraId="39F523F3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对当年纳统的企业技改投资项目，在市级奖励技术装备投资额10%的基础上，区财政迭加奖励5%，最高不超过200万元。</w:t>
      </w:r>
    </w:p>
    <w:p w14:paraId="65105617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对现有企业当年纳统并完成投资额5000万元以上的新上工业项目（其中技术装备投资额不低于50%），奖励企业技术装备投资额的5%，最高不超过200万元。</w:t>
      </w:r>
    </w:p>
    <w:p w14:paraId="2A0C58F1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营业收入首次突破500亿元、100亿元、50亿元、30亿元、20亿元、10亿元的企业，在市级奖励800万元、300万元、200万元、200万元、150万元、100万元的基础上，区财政迭加奖励100万元、80万元、60万元、50万元、40万元、30万元。对营业收入首次突破5亿元、1亿元的企业，区财政迭加奖励30万元、10万元。</w:t>
      </w:r>
    </w:p>
    <w:p w14:paraId="132BA345">
      <w:pPr>
        <w:adjustRightInd w:val="0"/>
        <w:snapToGrid w:val="0"/>
        <w:spacing w:line="616" w:lineRule="exact"/>
        <w:ind w:firstLine="643" w:firstLineChars="200"/>
        <w:rPr>
          <w:rFonts w:ascii="黑体" w:hAnsi="黑体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三、鼓励品牌创建</w:t>
      </w:r>
    </w:p>
    <w:p w14:paraId="6A187505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在主板、深圳证券交易所创业板新上市的企业分阶段奖励800万元，由市、区两级财政按0.5：0.5的比例兑现奖励；在上海证券交易所科创板新上市的企业一次性奖励600万元，由市、区两级财政按0.5：0.5的比例兑现奖励；在此基础上，区财政再分别迭加奖励200万元。</w:t>
      </w:r>
    </w:p>
    <w:p w14:paraId="66178BAC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新认定的全国制造业“单项冠军”示范企业，在省级、市级分别奖励200万元的基础上，区财政迭加奖励100万元；对新认定的省级、市级制造业“单项冠军”企业，在市级奖励50万元、30万元的基础上，区财政迭加奖励20万元、10万元。</w:t>
      </w:r>
    </w:p>
    <w:p w14:paraId="53C3F8D8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对新认定的国家级“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  <w:lang w:eastAsia="zh-CN"/>
        </w:rPr>
        <w:t>专精特新“小巨人”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”企业，区财政奖励100万元；对新认定的省级、市级“专精特新”中小企业，在市级奖励30万元、10万元的基础上，区财政迭加奖励20万元、10万元。对新认定的省级、市级“瞪羚企业”，在市级奖励50万元、20万元的基础上，区财政迭加奖励20万元、10万元。</w:t>
      </w:r>
    </w:p>
    <w:p w14:paraId="61C5EF94">
      <w:pPr>
        <w:adjustRightInd w:val="0"/>
        <w:snapToGrid w:val="0"/>
        <w:spacing w:line="616" w:lineRule="exact"/>
        <w:ind w:firstLine="643" w:firstLineChars="200"/>
        <w:rPr>
          <w:rFonts w:ascii="黑体" w:hAnsi="黑体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四、鼓励科技创新</w:t>
      </w:r>
    </w:p>
    <w:p w14:paraId="5782CC5B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新获批国家级、省级、市级企业技术创新中心、重点实验室、新型研发机构、工程技术研究中心、企业技术中心、工业设计中心、工程研究中心、博士后科研工作站等研发平台的企业，在市级最高奖励500万元、100万元、50万元的基础上，区财政最高迭加奖励100万元、50万元、30万元。</w:t>
      </w:r>
    </w:p>
    <w:p w14:paraId="293B9596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对新认定省级、市级“一企一技术”研发中心的创新企业，在市级奖励50万元、20万元的基础上，区财政迭加奖励20万元、10万元。</w:t>
      </w:r>
    </w:p>
    <w:p w14:paraId="131878BF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新认定的省级院士工作站，区财政奖励60万元；对新认定的市级院士工作站、专家工作站，在市级奖励30万元、10万元的基础上，区财政迭加奖励30万元、10万元。对新获批国家、省、市级博士后科研工作平台的单位，在市级奖励的基础上，区财政迭加奖励50万元、20万元、10万元。</w:t>
      </w:r>
    </w:p>
    <w:p w14:paraId="79E46C48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新认定的国家级、省级、市级企业孵化器、众创空间，在市级最高奖励500万元、50万元、30万元的基础上，区财政迭加最高奖励100万元、40万元、20万元。对高校院所在钢城设立的研发机构、成果转化机构，在市级奖励200万-500万元、50万-150万元的基础上，区财政迭加奖励40万-100万元、10万-30万元。</w:t>
      </w:r>
    </w:p>
    <w:p w14:paraId="29081C46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承担国家、省、市重点研发计划（重大创新工程）等科技项目的牵头企业，区财政迭加奖励国家、省、市到位资金的20%，最高不超过100万元。对列入省科技型中小企业创新能力提升工程项目的企业，区财政配套奖励10万元。</w:t>
      </w:r>
    </w:p>
    <w:p w14:paraId="10576826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鼓励企业加大研发投入，对当年享受省级、市级研发经费财政补助的企业，按照市级同等数额予以配套奖励。</w:t>
      </w:r>
    </w:p>
    <w:p w14:paraId="11D9669C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对新认定的高新技术企业，在省级、市级分别奖励10万元、30万元的基础上，区财政迭加奖励10万元；对通过复审认定的企业奖励5万元。</w:t>
      </w:r>
    </w:p>
    <w:p w14:paraId="5CBD9528">
      <w:pPr>
        <w:adjustRightInd w:val="0"/>
        <w:snapToGrid w:val="0"/>
        <w:spacing w:line="616" w:lineRule="exact"/>
        <w:ind w:firstLine="643" w:firstLineChars="200"/>
        <w:rPr>
          <w:rFonts w:ascii="黑体" w:hAnsi="黑体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五、鼓励绿色低碳发展</w:t>
      </w:r>
    </w:p>
    <w:p w14:paraId="3CE60325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新认定为国家级、省级、市级绿色工厂的企业，在市级分别奖励40万元、30万元、20万元的基础上，区财政分别迭加奖励40万元、30万元、20万元。对获评重点行业环保绩效分级A级、B级企业，区财政分别一次性奖励100万元、50万元；对获评环保绩效引领性企业，区财政一次性奖励50万元。</w:t>
      </w:r>
    </w:p>
    <w:p w14:paraId="5EA19720">
      <w:pPr>
        <w:adjustRightInd w:val="0"/>
        <w:snapToGrid w:val="0"/>
        <w:spacing w:line="616" w:lineRule="exact"/>
        <w:ind w:firstLine="643" w:firstLineChars="200"/>
        <w:rPr>
          <w:rFonts w:ascii="黑体" w:hAnsi="黑体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六、鼓励发展外向型经济</w:t>
      </w:r>
    </w:p>
    <w:p w14:paraId="6A09918B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对当年新纳统的一般贸易企业、跨境电商企业，进出口额达到2000万不足5000万元、达到5000万不足1亿元、达到1亿不足3亿元、达到3亿元以上的，在市财政奖励的基础上，区财政迭加奖励进出口额的4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‰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、5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‰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、6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‰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、7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‰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，最高不超过200万元。奖励资金分两年兑现，每年兑现50%。对完成进出口额大、地方财政贡献率高的企业，按照“一事一议”政策奖励。</w:t>
      </w:r>
    </w:p>
    <w:p w14:paraId="475F1D41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对现有企业进出口额达到1000万元且增幅20%以上的企业，给予当年增量部分5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‰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的奖励，最高不超过200万元。</w:t>
      </w:r>
    </w:p>
    <w:p w14:paraId="6B0C52D0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为便于宣传落实，该意见简称《工业高质量发展六条意见》。本政策自发布之日起施行，奖励范围为</w:t>
      </w:r>
      <w:r>
        <w:rPr>
          <w:rFonts w:ascii="宋体" w:hAnsi="宋体" w:eastAsia="文星仿宋"/>
          <w:b/>
          <w:color w:val="000000" w:themeColor="text1"/>
          <w:sz w:val="32"/>
          <w:szCs w:val="32"/>
        </w:rPr>
        <w:t>2022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年及以后国家和省、市、区文件公布确定的奖项。《济南市钢城区人民政府办公室关于扶持鼓励工业企业加快发展的</w:t>
      </w:r>
      <w:r>
        <w:rPr>
          <w:rFonts w:ascii="宋体" w:hAnsi="宋体" w:eastAsia="文星仿宋"/>
          <w:b/>
          <w:color w:val="000000" w:themeColor="text1"/>
          <w:sz w:val="32"/>
          <w:szCs w:val="32"/>
        </w:rPr>
        <w:t>33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条意见》（钢城政办发〔</w:t>
      </w:r>
      <w:r>
        <w:rPr>
          <w:rFonts w:ascii="宋体" w:hAnsi="宋体" w:eastAsia="文星仿宋"/>
          <w:b/>
          <w:color w:val="000000" w:themeColor="text1"/>
          <w:sz w:val="32"/>
          <w:szCs w:val="32"/>
        </w:rPr>
        <w:t>2020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〕</w:t>
      </w:r>
      <w:r>
        <w:rPr>
          <w:rFonts w:ascii="宋体" w:hAnsi="宋体" w:eastAsia="文星仿宋"/>
          <w:b/>
          <w:color w:val="000000" w:themeColor="text1"/>
          <w:sz w:val="32"/>
          <w:szCs w:val="32"/>
        </w:rPr>
        <w:t>1</w:t>
      </w: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号）同时废止。</w:t>
      </w:r>
    </w:p>
    <w:p w14:paraId="14B0D29F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</w:p>
    <w:p w14:paraId="4CDA2951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</w:p>
    <w:p w14:paraId="7AF2D030">
      <w:pPr>
        <w:adjustRightInd w:val="0"/>
        <w:snapToGrid w:val="0"/>
        <w:spacing w:line="616" w:lineRule="exact"/>
        <w:ind w:firstLine="643" w:firstLineChars="200"/>
        <w:rPr>
          <w:rFonts w:ascii="宋体" w:hAnsi="宋体" w:eastAsia="文星仿宋"/>
          <w:b/>
          <w:color w:val="000000" w:themeColor="text1"/>
          <w:sz w:val="32"/>
          <w:szCs w:val="32"/>
        </w:rPr>
      </w:pPr>
    </w:p>
    <w:p w14:paraId="7C43BA4C">
      <w:pPr>
        <w:adjustRightInd w:val="0"/>
        <w:snapToGrid w:val="0"/>
        <w:spacing w:line="616" w:lineRule="exact"/>
        <w:ind w:firstLine="4514" w:firstLineChars="1405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济南市钢城区人民政府</w:t>
      </w:r>
    </w:p>
    <w:p w14:paraId="7C8D5CF2">
      <w:pPr>
        <w:adjustRightInd w:val="0"/>
        <w:snapToGrid w:val="0"/>
        <w:spacing w:line="616" w:lineRule="exact"/>
        <w:ind w:firstLine="5005" w:firstLineChars="1558"/>
        <w:rPr>
          <w:rFonts w:ascii="宋体" w:hAnsi="宋体" w:eastAsia="文星仿宋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文星仿宋"/>
          <w:b/>
          <w:color w:val="000000" w:themeColor="text1"/>
          <w:sz w:val="32"/>
          <w:szCs w:val="32"/>
        </w:rPr>
        <w:t>2022年6月2日</w:t>
      </w:r>
    </w:p>
    <w:p w14:paraId="3D41EBF3">
      <w:pPr>
        <w:pStyle w:val="2"/>
        <w:spacing w:line="616" w:lineRule="exact"/>
        <w:rPr>
          <w:rFonts w:hint="eastAsia" w:hAnsi="宋体" w:eastAsia="方正仿宋简体"/>
          <w:b/>
          <w:color w:val="000000"/>
          <w:sz w:val="32"/>
          <w:szCs w:val="32"/>
        </w:rPr>
      </w:pPr>
    </w:p>
    <w:p w14:paraId="544CEF92">
      <w:pPr>
        <w:pStyle w:val="2"/>
        <w:spacing w:line="616" w:lineRule="exact"/>
        <w:rPr>
          <w:rFonts w:hint="eastAsia" w:hAnsi="宋体" w:eastAsia="方正仿宋简体"/>
          <w:b/>
          <w:color w:val="000000"/>
          <w:sz w:val="32"/>
          <w:szCs w:val="32"/>
        </w:rPr>
      </w:pPr>
    </w:p>
    <w:p w14:paraId="6D6AD5F9">
      <w:pPr>
        <w:pStyle w:val="2"/>
        <w:spacing w:line="616" w:lineRule="exact"/>
        <w:rPr>
          <w:rFonts w:hint="eastAsia" w:hAnsi="宋体" w:eastAsia="方正仿宋简体"/>
          <w:b/>
          <w:color w:val="000000"/>
          <w:sz w:val="32"/>
          <w:szCs w:val="32"/>
        </w:rPr>
      </w:pPr>
    </w:p>
    <w:p w14:paraId="3E30F303">
      <w:pPr>
        <w:pStyle w:val="2"/>
        <w:spacing w:line="616" w:lineRule="exact"/>
        <w:rPr>
          <w:rFonts w:hint="eastAsia" w:hAnsi="宋体" w:eastAsia="方正仿宋简体"/>
          <w:b/>
          <w:color w:val="000000"/>
          <w:sz w:val="32"/>
          <w:szCs w:val="32"/>
        </w:rPr>
      </w:pPr>
    </w:p>
    <w:p w14:paraId="218786F8">
      <w:pPr>
        <w:pStyle w:val="2"/>
        <w:spacing w:line="616" w:lineRule="exact"/>
        <w:rPr>
          <w:rFonts w:hint="eastAsia" w:hAnsi="宋体" w:eastAsia="方正仿宋简体"/>
          <w:b/>
          <w:color w:val="000000"/>
          <w:sz w:val="32"/>
          <w:szCs w:val="32"/>
        </w:rPr>
      </w:pPr>
    </w:p>
    <w:p w14:paraId="2D893021">
      <w:pPr>
        <w:pStyle w:val="2"/>
        <w:spacing w:line="616" w:lineRule="exact"/>
        <w:rPr>
          <w:rFonts w:hint="eastAsia" w:hAnsi="宋体" w:eastAsia="方正仿宋简体"/>
          <w:b/>
          <w:color w:val="000000"/>
          <w:sz w:val="32"/>
          <w:szCs w:val="32"/>
        </w:rPr>
      </w:pPr>
    </w:p>
    <w:p w14:paraId="60D4B558">
      <w:pPr>
        <w:pStyle w:val="2"/>
        <w:spacing w:line="616" w:lineRule="exact"/>
        <w:rPr>
          <w:rFonts w:hint="eastAsia" w:hAnsi="宋体" w:eastAsia="方正仿宋简体"/>
          <w:b/>
          <w:color w:val="000000"/>
          <w:sz w:val="32"/>
          <w:szCs w:val="32"/>
        </w:rPr>
      </w:pPr>
    </w:p>
    <w:p w14:paraId="15ECC039">
      <w:pPr>
        <w:pStyle w:val="2"/>
        <w:spacing w:line="616" w:lineRule="exact"/>
        <w:rPr>
          <w:rFonts w:hint="eastAsia" w:hAnsi="宋体" w:eastAsia="方正仿宋简体"/>
          <w:b/>
          <w:color w:val="000000"/>
          <w:sz w:val="32"/>
          <w:szCs w:val="32"/>
        </w:rPr>
      </w:pPr>
    </w:p>
    <w:p w14:paraId="0FF92E1B">
      <w:pPr>
        <w:spacing w:line="560" w:lineRule="exact"/>
        <w:jc w:val="center"/>
        <w:rPr>
          <w:rFonts w:ascii="新宋体" w:hAnsi="新宋体" w:eastAsia="黑体"/>
          <w:color w:val="000000"/>
          <w:kern w:val="36"/>
          <w:sz w:val="32"/>
        </w:rPr>
      </w:pPr>
    </w:p>
    <w:p w14:paraId="78F5BBA5">
      <w:pPr>
        <w:rPr>
          <w:rFonts w:ascii="新宋体" w:hAnsi="新宋体"/>
          <w:color w:val="000000"/>
        </w:rPr>
      </w:pPr>
    </w:p>
    <w:p w14:paraId="01594CDB">
      <w:pPr>
        <w:rPr>
          <w:rFonts w:ascii="新宋体" w:hAnsi="新宋体"/>
          <w:color w:val="000000"/>
        </w:rPr>
      </w:pPr>
    </w:p>
    <w:p w14:paraId="0F572CAA">
      <w:pPr>
        <w:rPr>
          <w:rFonts w:ascii="新宋体" w:hAnsi="新宋体"/>
          <w:color w:val="000000"/>
        </w:rPr>
      </w:pPr>
    </w:p>
    <w:p w14:paraId="154110C1">
      <w:pPr>
        <w:rPr>
          <w:rFonts w:ascii="新宋体" w:hAnsi="新宋体"/>
          <w:color w:val="000000"/>
        </w:rPr>
      </w:pPr>
    </w:p>
    <w:p w14:paraId="3715E8B0">
      <w:pPr>
        <w:rPr>
          <w:rFonts w:ascii="新宋体" w:hAnsi="新宋体"/>
          <w:color w:val="000000"/>
        </w:rPr>
      </w:pPr>
    </w:p>
    <w:p w14:paraId="0C2CFA66">
      <w:pPr>
        <w:rPr>
          <w:rFonts w:ascii="新宋体" w:hAnsi="新宋体"/>
          <w:color w:val="000000"/>
        </w:rPr>
      </w:pPr>
    </w:p>
    <w:p w14:paraId="3D028D30">
      <w:pPr>
        <w:rPr>
          <w:rFonts w:ascii="新宋体" w:hAnsi="新宋体"/>
          <w:color w:val="000000"/>
        </w:rPr>
      </w:pPr>
    </w:p>
    <w:p w14:paraId="79F10BAE">
      <w:pPr>
        <w:rPr>
          <w:rFonts w:ascii="新宋体" w:hAnsi="新宋体"/>
          <w:color w:val="000000"/>
        </w:rPr>
      </w:pPr>
    </w:p>
    <w:p w14:paraId="039A5FC3">
      <w:pPr>
        <w:rPr>
          <w:rFonts w:ascii="新宋体" w:hAnsi="新宋体"/>
          <w:color w:val="000000"/>
        </w:rPr>
      </w:pPr>
    </w:p>
    <w:p w14:paraId="42D35EBC">
      <w:pPr>
        <w:rPr>
          <w:rFonts w:ascii="新宋体" w:hAnsi="新宋体"/>
          <w:color w:val="000000"/>
        </w:rPr>
      </w:pPr>
    </w:p>
    <w:p w14:paraId="5BC3ACF0">
      <w:pPr>
        <w:rPr>
          <w:rFonts w:ascii="新宋体" w:hAnsi="新宋体"/>
          <w:color w:val="000000"/>
        </w:rPr>
      </w:pPr>
    </w:p>
    <w:p w14:paraId="1CE45851">
      <w:pPr>
        <w:rPr>
          <w:rFonts w:ascii="新宋体" w:hAnsi="新宋体"/>
          <w:color w:val="000000"/>
        </w:rPr>
      </w:pPr>
    </w:p>
    <w:p w14:paraId="646B01A9">
      <w:pPr>
        <w:rPr>
          <w:rFonts w:ascii="新宋体" w:hAnsi="新宋体"/>
          <w:color w:val="000000"/>
        </w:rPr>
      </w:pPr>
    </w:p>
    <w:p w14:paraId="68D39CB4">
      <w:pPr>
        <w:rPr>
          <w:rFonts w:ascii="新宋体" w:hAnsi="新宋体"/>
          <w:color w:val="000000"/>
        </w:rPr>
      </w:pPr>
    </w:p>
    <w:p w14:paraId="705DB0CF">
      <w:pPr>
        <w:rPr>
          <w:rFonts w:ascii="新宋体" w:hAnsi="新宋体"/>
          <w:color w:val="000000"/>
        </w:rPr>
      </w:pPr>
    </w:p>
    <w:p w14:paraId="5877E875">
      <w:pPr>
        <w:rPr>
          <w:rFonts w:ascii="新宋体" w:hAnsi="新宋体"/>
          <w:color w:val="000000"/>
        </w:rPr>
      </w:pPr>
    </w:p>
    <w:p w14:paraId="618A7EB8">
      <w:pPr>
        <w:rPr>
          <w:rFonts w:ascii="新宋体" w:hAnsi="新宋体"/>
          <w:color w:val="000000"/>
        </w:rPr>
      </w:pPr>
    </w:p>
    <w:p w14:paraId="654CEB0E">
      <w:pPr>
        <w:rPr>
          <w:rFonts w:ascii="新宋体" w:hAnsi="新宋体"/>
          <w:color w:val="000000"/>
        </w:rPr>
      </w:pPr>
    </w:p>
    <w:p w14:paraId="7FD74B16">
      <w:pPr>
        <w:rPr>
          <w:rFonts w:ascii="新宋体" w:hAnsi="新宋体"/>
          <w:color w:val="000000"/>
        </w:rPr>
      </w:pPr>
    </w:p>
    <w:p w14:paraId="726FF9A8">
      <w:pPr>
        <w:rPr>
          <w:rFonts w:ascii="新宋体" w:hAnsi="新宋体"/>
          <w:color w:val="000000"/>
        </w:rPr>
      </w:pPr>
    </w:p>
    <w:p w14:paraId="0470AEBE">
      <w:pPr>
        <w:rPr>
          <w:rFonts w:ascii="新宋体" w:hAnsi="新宋体"/>
          <w:color w:val="000000"/>
        </w:rPr>
      </w:pPr>
    </w:p>
    <w:p w14:paraId="6CE93939">
      <w:pPr>
        <w:rPr>
          <w:rFonts w:ascii="新宋体" w:hAnsi="新宋体"/>
          <w:color w:val="000000"/>
        </w:rPr>
      </w:pPr>
    </w:p>
    <w:p w14:paraId="07994FD5">
      <w:pPr>
        <w:rPr>
          <w:rFonts w:ascii="新宋体" w:hAnsi="新宋体"/>
          <w:color w:val="000000"/>
        </w:rPr>
      </w:pPr>
    </w:p>
    <w:p w14:paraId="2461BF76">
      <w:pPr>
        <w:rPr>
          <w:rFonts w:ascii="新宋体" w:hAnsi="新宋体"/>
          <w:color w:val="000000"/>
        </w:rPr>
      </w:pPr>
    </w:p>
    <w:p w14:paraId="74785040">
      <w:pPr>
        <w:rPr>
          <w:rFonts w:ascii="新宋体" w:hAnsi="新宋体"/>
          <w:color w:val="000000"/>
        </w:rPr>
      </w:pPr>
    </w:p>
    <w:p w14:paraId="145F7092">
      <w:pPr>
        <w:rPr>
          <w:rFonts w:ascii="新宋体" w:hAnsi="新宋体"/>
          <w:color w:val="000000"/>
        </w:rPr>
      </w:pPr>
    </w:p>
    <w:p w14:paraId="4A03CB2D">
      <w:pPr>
        <w:rPr>
          <w:rFonts w:ascii="新宋体" w:hAnsi="新宋体"/>
          <w:color w:val="000000"/>
        </w:rPr>
      </w:pPr>
    </w:p>
    <w:p w14:paraId="75CB4654">
      <w:pPr>
        <w:rPr>
          <w:rFonts w:ascii="新宋体" w:hAnsi="新宋体"/>
          <w:color w:val="000000"/>
        </w:rPr>
      </w:pPr>
    </w:p>
    <w:p w14:paraId="0C8856CD">
      <w:pPr>
        <w:rPr>
          <w:rFonts w:ascii="新宋体" w:hAnsi="新宋体"/>
          <w:color w:val="000000"/>
        </w:rPr>
      </w:pPr>
    </w:p>
    <w:p w14:paraId="2F1FE61D">
      <w:pPr>
        <w:rPr>
          <w:rFonts w:ascii="新宋体" w:hAnsi="新宋体"/>
          <w:color w:val="000000"/>
        </w:rPr>
      </w:pPr>
    </w:p>
    <w:p w14:paraId="2024C4A0">
      <w:pPr>
        <w:rPr>
          <w:rFonts w:ascii="新宋体" w:hAnsi="新宋体"/>
          <w:color w:val="000000"/>
        </w:rPr>
      </w:pPr>
    </w:p>
    <w:p w14:paraId="2DA59F4B">
      <w:pPr>
        <w:rPr>
          <w:rFonts w:ascii="新宋体" w:hAnsi="新宋体"/>
          <w:color w:val="000000"/>
        </w:rPr>
      </w:pPr>
    </w:p>
    <w:p w14:paraId="1E81C7C3">
      <w:pPr>
        <w:spacing w:line="100" w:lineRule="exact"/>
        <w:rPr>
          <w:rFonts w:hint="eastAsia" w:ascii="新宋体" w:hAnsi="新宋体" w:eastAsia="文星仿宋"/>
          <w:color w:val="000000"/>
          <w:sz w:val="32"/>
          <w:szCs w:val="32"/>
        </w:rPr>
      </w:pPr>
    </w:p>
    <w:p w14:paraId="0D5B1ED2">
      <w:pPr>
        <w:spacing w:line="100" w:lineRule="exact"/>
        <w:rPr>
          <w:rFonts w:hint="eastAsia" w:ascii="新宋体" w:hAnsi="新宋体" w:eastAsia="文星仿宋"/>
          <w:color w:val="000000"/>
          <w:sz w:val="32"/>
          <w:szCs w:val="32"/>
        </w:rPr>
      </w:pPr>
    </w:p>
    <w:p w14:paraId="402B66C8">
      <w:pPr>
        <w:spacing w:line="100" w:lineRule="exact"/>
        <w:rPr>
          <w:rFonts w:hint="eastAsia" w:ascii="新宋体" w:hAnsi="新宋体" w:eastAsia="文星仿宋"/>
          <w:color w:val="000000"/>
          <w:sz w:val="32"/>
          <w:szCs w:val="32"/>
        </w:rPr>
      </w:pPr>
    </w:p>
    <w:p w14:paraId="116C1FA8">
      <w:pPr>
        <w:spacing w:line="100" w:lineRule="exact"/>
        <w:rPr>
          <w:rFonts w:hint="eastAsia" w:ascii="新宋体" w:hAnsi="新宋体" w:eastAsia="文星仿宋"/>
          <w:color w:val="000000"/>
          <w:sz w:val="32"/>
          <w:szCs w:val="32"/>
        </w:rPr>
      </w:pPr>
    </w:p>
    <w:p w14:paraId="2CD6F3BB">
      <w:pPr>
        <w:spacing w:line="100" w:lineRule="exact"/>
        <w:rPr>
          <w:rFonts w:hint="eastAsia" w:ascii="新宋体" w:hAnsi="新宋体" w:eastAsia="文星仿宋"/>
          <w:color w:val="000000"/>
          <w:sz w:val="32"/>
          <w:szCs w:val="32"/>
        </w:rPr>
      </w:pPr>
    </w:p>
    <w:p w14:paraId="450219D3">
      <w:pPr>
        <w:spacing w:line="100" w:lineRule="exact"/>
        <w:rPr>
          <w:rFonts w:hint="eastAsia" w:ascii="新宋体" w:hAnsi="新宋体" w:eastAsia="文星仿宋"/>
          <w:color w:val="000000"/>
          <w:sz w:val="32"/>
          <w:szCs w:val="32"/>
        </w:rPr>
      </w:pPr>
    </w:p>
    <w:p w14:paraId="4AF4FFB0">
      <w:pPr>
        <w:spacing w:line="100" w:lineRule="exact"/>
        <w:rPr>
          <w:rFonts w:hint="eastAsia" w:ascii="新宋体" w:hAnsi="新宋体" w:eastAsia="文星仿宋"/>
          <w:color w:val="000000"/>
          <w:sz w:val="32"/>
          <w:szCs w:val="32"/>
        </w:rPr>
      </w:pPr>
    </w:p>
    <w:p w14:paraId="3E4C80E3">
      <w:pPr>
        <w:spacing w:line="100" w:lineRule="exact"/>
        <w:rPr>
          <w:rFonts w:hint="eastAsia" w:ascii="新宋体" w:hAnsi="新宋体" w:eastAsia="文星仿宋"/>
          <w:color w:val="000000"/>
          <w:sz w:val="32"/>
          <w:szCs w:val="32"/>
        </w:rPr>
      </w:pPr>
    </w:p>
    <w:p w14:paraId="5C821380">
      <w:pPr>
        <w:spacing w:line="100" w:lineRule="exact"/>
        <w:rPr>
          <w:rFonts w:hint="eastAsia" w:ascii="新宋体" w:hAnsi="新宋体" w:eastAsia="文星仿宋"/>
          <w:color w:val="000000"/>
          <w:sz w:val="32"/>
          <w:szCs w:val="32"/>
        </w:rPr>
      </w:pPr>
    </w:p>
    <w:p w14:paraId="4F678936">
      <w:pPr>
        <w:spacing w:line="100" w:lineRule="exact"/>
        <w:rPr>
          <w:rFonts w:hint="eastAsia" w:ascii="新宋体" w:hAnsi="新宋体" w:eastAsia="文星仿宋"/>
          <w:color w:val="000000"/>
          <w:sz w:val="32"/>
          <w:szCs w:val="32"/>
        </w:rPr>
      </w:pPr>
    </w:p>
    <w:p w14:paraId="3237C3A6">
      <w:pPr>
        <w:spacing w:line="100" w:lineRule="exact"/>
        <w:rPr>
          <w:rFonts w:ascii="新宋体" w:hAnsi="新宋体" w:eastAsia="文星仿宋"/>
          <w:color w:val="000000"/>
          <w:sz w:val="32"/>
          <w:szCs w:val="32"/>
        </w:rPr>
      </w:pPr>
    </w:p>
    <w:p w14:paraId="391F6813">
      <w:pPr>
        <w:spacing w:line="616" w:lineRule="exact"/>
        <w:rPr>
          <w:rFonts w:ascii="新宋体" w:hAnsi="新宋体"/>
          <w:b/>
          <w:color w:val="000000"/>
        </w:rPr>
      </w:pPr>
      <w:r>
        <w:rPr>
          <w:rFonts w:ascii="新宋体" w:hAnsi="新宋体" w:cs="Calibri"/>
          <w:b/>
          <w:color w:val="000000"/>
        </w:rPr>
        <w:pict>
          <v:line id="Line 2" o:spid="_x0000_s2053" o:spt="20" style="position:absolute;left:0pt;flip:y;margin-left:0.7pt;margin-top:4.35pt;height:0pt;width:440.8pt;z-index:-251657216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新宋体" w:hAnsi="新宋体" w:cs="Calibri"/>
          <w:b/>
          <w:color w:val="000000"/>
        </w:rPr>
        <w:pict>
          <v:line id="Line 3" o:spid="_x0000_s2052" o:spt="20" style="position:absolute;left:0pt;margin-left:0.7pt;margin-top:35.95pt;height:0pt;width:440.8pt;z-index:-251657216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Style w:val="12"/>
          <w:rFonts w:hint="eastAsia" w:ascii="新宋体" w:hAnsi="新宋体" w:eastAsia="文星仿宋" w:cs="文星仿宋"/>
          <w:b/>
          <w:color w:val="000000"/>
          <w:sz w:val="32"/>
          <w:szCs w:val="32"/>
        </w:rPr>
        <w:t>济南市钢城区人民政府办公室</w:t>
      </w:r>
      <w:r>
        <w:rPr>
          <w:rStyle w:val="12"/>
          <w:rFonts w:ascii="新宋体" w:hAnsi="新宋体" w:eastAsia="文星仿宋" w:cs="新宋体"/>
          <w:b/>
          <w:color w:val="000000"/>
          <w:sz w:val="32"/>
          <w:szCs w:val="32"/>
        </w:rPr>
        <w:t xml:space="preserve">    </w:t>
      </w:r>
      <w:r>
        <w:rPr>
          <w:rStyle w:val="12"/>
          <w:rFonts w:hint="eastAsia" w:ascii="新宋体" w:hAnsi="新宋体" w:eastAsia="文星仿宋" w:cs="新宋体"/>
          <w:b/>
          <w:color w:val="000000"/>
          <w:sz w:val="32"/>
          <w:szCs w:val="32"/>
        </w:rPr>
        <w:t xml:space="preserve"> </w:t>
      </w:r>
      <w:r>
        <w:rPr>
          <w:rStyle w:val="12"/>
          <w:rFonts w:ascii="新宋体" w:hAnsi="新宋体" w:eastAsia="文星仿宋" w:cs="新宋体"/>
          <w:b/>
          <w:color w:val="000000"/>
          <w:sz w:val="32"/>
          <w:szCs w:val="32"/>
        </w:rPr>
        <w:t xml:space="preserve">     20</w:t>
      </w:r>
      <w:r>
        <w:rPr>
          <w:rStyle w:val="12"/>
          <w:rFonts w:hint="eastAsia" w:ascii="新宋体" w:hAnsi="新宋体" w:eastAsia="文星仿宋" w:cs="新宋体"/>
          <w:b/>
          <w:color w:val="000000"/>
          <w:sz w:val="32"/>
          <w:szCs w:val="32"/>
        </w:rPr>
        <w:t>22</w:t>
      </w:r>
      <w:r>
        <w:rPr>
          <w:rStyle w:val="12"/>
          <w:rFonts w:hint="eastAsia" w:ascii="新宋体" w:hAnsi="新宋体" w:eastAsia="文星仿宋" w:cs="文星仿宋"/>
          <w:b/>
          <w:color w:val="000000"/>
          <w:sz w:val="32"/>
          <w:szCs w:val="32"/>
        </w:rPr>
        <w:t>年</w:t>
      </w:r>
      <w:r>
        <w:rPr>
          <w:rStyle w:val="12"/>
          <w:rFonts w:hint="eastAsia" w:ascii="新宋体" w:hAnsi="新宋体" w:eastAsia="文星仿宋" w:cs="新宋体"/>
          <w:b/>
          <w:color w:val="000000"/>
          <w:sz w:val="32"/>
          <w:szCs w:val="32"/>
        </w:rPr>
        <w:t>6</w:t>
      </w:r>
      <w:r>
        <w:rPr>
          <w:rStyle w:val="12"/>
          <w:rFonts w:hint="eastAsia" w:ascii="新宋体" w:hAnsi="新宋体" w:eastAsia="文星仿宋" w:cs="文星仿宋"/>
          <w:b/>
          <w:color w:val="000000"/>
          <w:sz w:val="32"/>
          <w:szCs w:val="32"/>
        </w:rPr>
        <w:t>月2日印发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10" w:usb3="00000000" w:csb0="00160005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C3BA7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FF6A00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0F2"/>
    <w:rsid w:val="00025DF1"/>
    <w:rsid w:val="0003501B"/>
    <w:rsid w:val="00043142"/>
    <w:rsid w:val="00050D3C"/>
    <w:rsid w:val="0006301E"/>
    <w:rsid w:val="00063E18"/>
    <w:rsid w:val="0008261B"/>
    <w:rsid w:val="00095993"/>
    <w:rsid w:val="00097EA5"/>
    <w:rsid w:val="000D0C06"/>
    <w:rsid w:val="000E79DE"/>
    <w:rsid w:val="000F246B"/>
    <w:rsid w:val="00133D32"/>
    <w:rsid w:val="00141186"/>
    <w:rsid w:val="00186D40"/>
    <w:rsid w:val="001A429F"/>
    <w:rsid w:val="001C616C"/>
    <w:rsid w:val="001F10EB"/>
    <w:rsid w:val="00251949"/>
    <w:rsid w:val="002864F8"/>
    <w:rsid w:val="002A4787"/>
    <w:rsid w:val="002C3678"/>
    <w:rsid w:val="002C739A"/>
    <w:rsid w:val="002F474E"/>
    <w:rsid w:val="0032378A"/>
    <w:rsid w:val="0035745C"/>
    <w:rsid w:val="00365B19"/>
    <w:rsid w:val="00397755"/>
    <w:rsid w:val="003D3B2A"/>
    <w:rsid w:val="003F0E2C"/>
    <w:rsid w:val="0041560F"/>
    <w:rsid w:val="004968DA"/>
    <w:rsid w:val="004D0E02"/>
    <w:rsid w:val="004D70B0"/>
    <w:rsid w:val="004E0E71"/>
    <w:rsid w:val="00500DD1"/>
    <w:rsid w:val="00553B44"/>
    <w:rsid w:val="00554C7B"/>
    <w:rsid w:val="00554E09"/>
    <w:rsid w:val="0058181C"/>
    <w:rsid w:val="005E525E"/>
    <w:rsid w:val="00610D41"/>
    <w:rsid w:val="00610F7F"/>
    <w:rsid w:val="006147B3"/>
    <w:rsid w:val="00635EB1"/>
    <w:rsid w:val="00646918"/>
    <w:rsid w:val="00656C03"/>
    <w:rsid w:val="00677154"/>
    <w:rsid w:val="006846FA"/>
    <w:rsid w:val="006F6769"/>
    <w:rsid w:val="00724331"/>
    <w:rsid w:val="00750658"/>
    <w:rsid w:val="00753C58"/>
    <w:rsid w:val="0075517D"/>
    <w:rsid w:val="00774A8B"/>
    <w:rsid w:val="00785EB5"/>
    <w:rsid w:val="00792102"/>
    <w:rsid w:val="00795FBB"/>
    <w:rsid w:val="007A20FC"/>
    <w:rsid w:val="007B7BE3"/>
    <w:rsid w:val="007C1605"/>
    <w:rsid w:val="008127A3"/>
    <w:rsid w:val="00872868"/>
    <w:rsid w:val="00880B45"/>
    <w:rsid w:val="008B6A04"/>
    <w:rsid w:val="008D4A1F"/>
    <w:rsid w:val="008D4D40"/>
    <w:rsid w:val="008F1050"/>
    <w:rsid w:val="008F524D"/>
    <w:rsid w:val="00907E25"/>
    <w:rsid w:val="009B024A"/>
    <w:rsid w:val="009D6048"/>
    <w:rsid w:val="00A10654"/>
    <w:rsid w:val="00A24761"/>
    <w:rsid w:val="00AF4823"/>
    <w:rsid w:val="00B26229"/>
    <w:rsid w:val="00B31596"/>
    <w:rsid w:val="00B36FC5"/>
    <w:rsid w:val="00B621DD"/>
    <w:rsid w:val="00B639FA"/>
    <w:rsid w:val="00B82760"/>
    <w:rsid w:val="00BA00A8"/>
    <w:rsid w:val="00BA77FD"/>
    <w:rsid w:val="00BE0805"/>
    <w:rsid w:val="00C331B3"/>
    <w:rsid w:val="00C63A51"/>
    <w:rsid w:val="00CA0317"/>
    <w:rsid w:val="00CB10F2"/>
    <w:rsid w:val="00CD61F4"/>
    <w:rsid w:val="00CF0E9A"/>
    <w:rsid w:val="00D04ADE"/>
    <w:rsid w:val="00D11C19"/>
    <w:rsid w:val="00D22F4D"/>
    <w:rsid w:val="00D40D0D"/>
    <w:rsid w:val="00D71DF1"/>
    <w:rsid w:val="00DA3493"/>
    <w:rsid w:val="00DA434D"/>
    <w:rsid w:val="00DA6140"/>
    <w:rsid w:val="00DE1EB7"/>
    <w:rsid w:val="00E17931"/>
    <w:rsid w:val="00E33CF1"/>
    <w:rsid w:val="00E62383"/>
    <w:rsid w:val="00E719A1"/>
    <w:rsid w:val="00EA010E"/>
    <w:rsid w:val="00EA1B70"/>
    <w:rsid w:val="00EA4FB6"/>
    <w:rsid w:val="00EC50A0"/>
    <w:rsid w:val="00F33D26"/>
    <w:rsid w:val="00F458E1"/>
    <w:rsid w:val="00F6140F"/>
    <w:rsid w:val="00F62B9D"/>
    <w:rsid w:val="00F70CE6"/>
    <w:rsid w:val="00FC4D7A"/>
    <w:rsid w:val="00FD404D"/>
    <w:rsid w:val="00FF2866"/>
    <w:rsid w:val="00FF3F4F"/>
    <w:rsid w:val="2CE86F0C"/>
    <w:rsid w:val="7EB79ADF"/>
    <w:rsid w:val="FFEEC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0"/>
    <w:rPr>
      <w:b/>
      <w:bCs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纯文本 Char"/>
    <w:basedOn w:val="7"/>
    <w:link w:val="2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2">
    <w:name w:val="txt1"/>
    <w:basedOn w:val="7"/>
    <w:uiPriority w:val="99"/>
    <w:rPr>
      <w:rFonts w:ascii="宋体" w:hAnsi="宋体" w:eastAsia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2074</Words>
  <Characters>2269</Characters>
  <Lines>16</Lines>
  <Paragraphs>4</Paragraphs>
  <TotalTime>25</TotalTime>
  <ScaleCrop>false</ScaleCrop>
  <LinksUpToDate>false</LinksUpToDate>
  <CharactersWithSpaces>2279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2022-05-23T07:57:00Z</dcterms:created>
  <dc:creator>T</dc:creator>
  <cp:lastModifiedBy>要什么自行车</cp:lastModifiedBy>
  <cp:lastPrinted>2022-06-02T00:10:00Z</cp:lastPrinted>
  <dcterms:modified xsi:type="dcterms:W3CDTF">2025-02-20T01:46:35Z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eyJoZGlkIjoiOTRkNDgxY2Y3MTc2MzI3ZWVjMDY4MzkzZGJmODk1NjAiLCJ1c2VySWQiOiI2NzcyMjg0OTIifQ==</vt:lpwstr>
  </property>
  <property fmtid="{D5CDD505-2E9C-101B-9397-08002B2CF9AE}" pid="4" name="ICV">
    <vt:lpwstr>EB4EED7E97D34213A11F2BEBD17B704B_12</vt:lpwstr>
  </property>
</Properties>
</file>