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方正小标宋简体" w:hAnsi="微软雅黑" w:eastAsia="方正小标宋简体" w:cs="微软雅黑"/>
          <w:sz w:val="52"/>
          <w:szCs w:val="52"/>
        </w:rPr>
      </w:pPr>
      <w:bookmarkStart w:id="0" w:name="_Toc29523"/>
      <w:bookmarkStart w:id="1" w:name="_Toc29553"/>
      <w:bookmarkStart w:id="2" w:name="_Toc3405"/>
      <w:bookmarkStart w:id="3" w:name="_Toc21952"/>
      <w:r>
        <w:rPr>
          <w:rFonts w:hint="eastAsia" w:ascii="方正小标宋简体" w:hAnsi="微软雅黑" w:eastAsia="方正小标宋简体" w:cs="微软雅黑"/>
          <w:sz w:val="52"/>
          <w:szCs w:val="52"/>
        </w:rPr>
        <w:t>网上商城印刷服务</w:t>
      </w:r>
      <w:bookmarkStart w:id="4" w:name="_Toc2892"/>
      <w:bookmarkStart w:id="5" w:name="_Toc17666"/>
      <w:bookmarkStart w:id="6" w:name="_Toc15978"/>
      <w:r>
        <w:rPr>
          <w:rFonts w:hint="eastAsia" w:ascii="方正小标宋简体" w:hAnsi="微软雅黑" w:eastAsia="方正小标宋简体" w:cs="微软雅黑"/>
          <w:sz w:val="52"/>
          <w:szCs w:val="52"/>
        </w:rPr>
        <w:t>框架协议</w:t>
      </w:r>
      <w:bookmarkEnd w:id="0"/>
      <w:bookmarkEnd w:id="1"/>
      <w:bookmarkEnd w:id="2"/>
      <w:bookmarkStart w:id="7" w:name="_Toc23837"/>
      <w:bookmarkStart w:id="8" w:name="_Toc30553"/>
    </w:p>
    <w:p>
      <w:pPr>
        <w:jc w:val="center"/>
        <w:outlineLvl w:val="0"/>
        <w:rPr>
          <w:rFonts w:hint="eastAsia" w:ascii="方正小标宋简体" w:hAnsi="微软雅黑" w:eastAsia="方正小标宋简体" w:cs="微软雅黑"/>
          <w:sz w:val="52"/>
          <w:szCs w:val="52"/>
        </w:rPr>
      </w:pPr>
      <w:bookmarkStart w:id="9" w:name="_Toc17511"/>
      <w:r>
        <w:rPr>
          <w:rFonts w:hint="eastAsia" w:ascii="方正小标宋简体" w:hAnsi="微软雅黑" w:eastAsia="方正小标宋简体" w:cs="微软雅黑"/>
          <w:sz w:val="52"/>
          <w:szCs w:val="52"/>
          <w:lang w:val="en-US" w:eastAsia="zh-CN"/>
        </w:rPr>
        <w:t>第</w:t>
      </w:r>
      <w:r>
        <w:rPr>
          <w:rFonts w:hint="eastAsia" w:ascii="方正小标宋简体" w:hAnsi="微软雅黑" w:eastAsia="方正小标宋简体" w:cs="微软雅黑"/>
          <w:sz w:val="52"/>
          <w:szCs w:val="52"/>
        </w:rPr>
        <w:t>二阶段</w:t>
      </w:r>
      <w:bookmarkEnd w:id="3"/>
      <w:bookmarkStart w:id="46" w:name="_GoBack"/>
      <w:bookmarkEnd w:id="46"/>
      <w:r>
        <w:rPr>
          <w:rFonts w:hint="eastAsia" w:ascii="方正小标宋简体" w:hAnsi="微软雅黑" w:eastAsia="方正小标宋简体" w:cs="微软雅黑"/>
          <w:sz w:val="52"/>
          <w:szCs w:val="52"/>
        </w:rPr>
        <w:t>采购操作手册</w:t>
      </w:r>
      <w:bookmarkEnd w:id="4"/>
      <w:bookmarkEnd w:id="5"/>
      <w:bookmarkEnd w:id="6"/>
      <w:bookmarkEnd w:id="7"/>
      <w:bookmarkEnd w:id="8"/>
      <w:bookmarkEnd w:id="9"/>
    </w:p>
    <w:p>
      <w:pPr>
        <w:jc w:val="center"/>
        <w:outlineLvl w:val="0"/>
        <w:rPr>
          <w:rFonts w:hint="eastAsia" w:ascii="方正小标宋简体" w:hAnsi="微软雅黑" w:eastAsia="方正小标宋简体" w:cs="微软雅黑"/>
          <w:sz w:val="52"/>
          <w:szCs w:val="52"/>
        </w:rPr>
      </w:pPr>
      <w:bookmarkStart w:id="10" w:name="_Toc2872"/>
      <w:bookmarkStart w:id="11" w:name="_Toc19849"/>
      <w:bookmarkStart w:id="12" w:name="_Toc28209"/>
      <w:bookmarkStart w:id="13" w:name="_Toc29976"/>
      <w:bookmarkStart w:id="14" w:name="_Toc6195"/>
      <w:bookmarkStart w:id="15" w:name="_Toc31233"/>
      <w:r>
        <w:rPr>
          <w:rFonts w:hint="eastAsia" w:ascii="方正小标宋简体" w:hAnsi="微软雅黑" w:eastAsia="方正小标宋简体" w:cs="微软雅黑"/>
          <w:sz w:val="52"/>
          <w:szCs w:val="52"/>
        </w:rPr>
        <w:t>（</w:t>
      </w:r>
      <w:r>
        <w:rPr>
          <w:rFonts w:hint="eastAsia" w:ascii="方正小标宋简体" w:hAnsi="微软雅黑" w:eastAsia="方正小标宋简体" w:cs="微软雅黑"/>
          <w:sz w:val="52"/>
          <w:szCs w:val="52"/>
          <w:lang w:val="en-US" w:eastAsia="zh-CN"/>
        </w:rPr>
        <w:t>供应商1</w:t>
      </w:r>
      <w:r>
        <w:rPr>
          <w:rFonts w:hint="eastAsia" w:ascii="方正小标宋简体" w:hAnsi="微软雅黑" w:eastAsia="方正小标宋简体" w:cs="微软雅黑"/>
          <w:sz w:val="52"/>
          <w:szCs w:val="52"/>
        </w:rPr>
        <w:t>.0版）</w:t>
      </w:r>
      <w:bookmarkEnd w:id="10"/>
      <w:bookmarkEnd w:id="11"/>
      <w:bookmarkEnd w:id="12"/>
      <w:bookmarkEnd w:id="13"/>
      <w:bookmarkEnd w:id="14"/>
      <w:bookmarkEnd w:id="15"/>
    </w:p>
    <w:p>
      <w:pPr>
        <w:jc w:val="center"/>
        <w:outlineLvl w:val="9"/>
        <w:rPr>
          <w:rFonts w:hint="eastAsia" w:ascii="方正小标宋简体" w:hAnsi="微软雅黑" w:eastAsia="方正小标宋简体" w:cs="微软雅黑"/>
          <w:sz w:val="52"/>
          <w:szCs w:val="52"/>
        </w:rPr>
      </w:pPr>
    </w:p>
    <w:p>
      <w:pPr>
        <w:jc w:val="center"/>
        <w:outlineLvl w:val="9"/>
        <w:rPr>
          <w:rFonts w:hint="eastAsia" w:ascii="方正小标宋简体" w:hAnsi="微软雅黑" w:eastAsia="方正小标宋简体" w:cs="微软雅黑"/>
          <w:sz w:val="52"/>
          <w:szCs w:val="52"/>
        </w:rPr>
      </w:pPr>
    </w:p>
    <w:p>
      <w:pPr>
        <w:jc w:val="center"/>
        <w:outlineLvl w:val="9"/>
        <w:rPr>
          <w:rFonts w:hint="eastAsia" w:ascii="方正小标宋简体" w:hAnsi="微软雅黑" w:eastAsia="方正小标宋简体" w:cs="微软雅黑"/>
          <w:sz w:val="52"/>
          <w:szCs w:val="52"/>
        </w:rPr>
      </w:pPr>
    </w:p>
    <w:p>
      <w:pPr>
        <w:jc w:val="center"/>
        <w:outlineLvl w:val="9"/>
        <w:rPr>
          <w:rFonts w:hint="eastAsia" w:ascii="方正小标宋简体" w:hAnsi="微软雅黑" w:eastAsia="方正小标宋简体" w:cs="微软雅黑"/>
          <w:sz w:val="52"/>
          <w:szCs w:val="52"/>
        </w:rPr>
      </w:pPr>
    </w:p>
    <w:p>
      <w:pPr>
        <w:jc w:val="center"/>
        <w:outlineLvl w:val="9"/>
        <w:rPr>
          <w:rFonts w:hint="eastAsia" w:ascii="方正小标宋简体" w:hAnsi="微软雅黑" w:eastAsia="方正小标宋简体" w:cs="微软雅黑"/>
          <w:sz w:val="52"/>
          <w:szCs w:val="52"/>
        </w:rPr>
      </w:pPr>
    </w:p>
    <w:p>
      <w:pPr>
        <w:jc w:val="center"/>
        <w:outlineLvl w:val="9"/>
        <w:rPr>
          <w:rFonts w:hint="eastAsia" w:ascii="方正小标宋简体" w:hAnsi="微软雅黑" w:eastAsia="方正小标宋简体" w:cs="微软雅黑"/>
          <w:sz w:val="52"/>
          <w:szCs w:val="52"/>
        </w:rPr>
      </w:pPr>
    </w:p>
    <w:p>
      <w:pPr>
        <w:jc w:val="center"/>
        <w:outlineLvl w:val="9"/>
        <w:rPr>
          <w:rFonts w:hint="eastAsia" w:ascii="方正小标宋简体" w:hAnsi="微软雅黑" w:eastAsia="方正小标宋简体" w:cs="微软雅黑"/>
          <w:sz w:val="52"/>
          <w:szCs w:val="52"/>
        </w:rPr>
      </w:pPr>
    </w:p>
    <w:p>
      <w:pPr>
        <w:jc w:val="center"/>
        <w:outlineLvl w:val="0"/>
        <w:rPr>
          <w:rFonts w:hint="default" w:ascii="方正小标宋简体" w:hAnsi="微软雅黑" w:eastAsia="方正小标宋简体" w:cs="微软雅黑"/>
          <w:sz w:val="28"/>
          <w:szCs w:val="28"/>
          <w:lang w:val="en-US" w:eastAsia="zh-CN"/>
        </w:rPr>
      </w:pPr>
      <w:bookmarkStart w:id="16" w:name="_Toc11888"/>
      <w:bookmarkStart w:id="17" w:name="_Toc16449"/>
      <w:bookmarkStart w:id="18" w:name="_Toc1742"/>
      <w:bookmarkStart w:id="19" w:name="_Toc18519"/>
      <w:bookmarkStart w:id="20" w:name="_Toc2515"/>
      <w:bookmarkStart w:id="21" w:name="_Toc28007"/>
      <w:r>
        <w:rPr>
          <w:rFonts w:hint="eastAsia" w:ascii="方正小标宋简体" w:hAnsi="微软雅黑" w:eastAsia="方正小标宋简体" w:cs="微软雅黑"/>
          <w:sz w:val="28"/>
          <w:szCs w:val="28"/>
          <w:lang w:val="en-US" w:eastAsia="zh-CN"/>
        </w:rPr>
        <w:t>2024年7月</w:t>
      </w:r>
      <w:bookmarkEnd w:id="16"/>
      <w:bookmarkEnd w:id="17"/>
      <w:bookmarkEnd w:id="18"/>
      <w:bookmarkEnd w:id="19"/>
      <w:bookmarkEnd w:id="20"/>
      <w:bookmarkEnd w:id="21"/>
    </w:p>
    <w:p>
      <w:p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8"/>
          <w:szCs w:val="28"/>
          <w:lang w:val="en-US" w:eastAsia="zh-CN" w:bidi="ar-SA"/>
        </w:rPr>
        <w:id w:val="147453449"/>
        <w15:color w:val="DBDBDB"/>
        <w:docPartObj>
          <w:docPartGallery w:val="Table of Contents"/>
          <w:docPartUnique/>
        </w:docPartObj>
      </w:sdtPr>
      <w:sdtEndPr>
        <w:rPr>
          <w:rFonts w:hint="eastAsia" w:ascii="仿宋" w:hAnsi="仿宋" w:eastAsia="仿宋" w:cs="仿宋"/>
          <w:kern w:val="2"/>
          <w:sz w:val="28"/>
          <w:szCs w:val="28"/>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目录</w:t>
          </w:r>
        </w:p>
        <w:p>
          <w:pPr>
            <w:pStyle w:val="9"/>
            <w:tabs>
              <w:tab w:val="right" w:leader="dot" w:pos="8306"/>
            </w:tabs>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TOC \o "1-3" \h \u </w:instrText>
          </w:r>
          <w:r>
            <w:rPr>
              <w:rFonts w:hint="eastAsia" w:ascii="仿宋" w:hAnsi="仿宋" w:eastAsia="仿宋" w:cs="仿宋"/>
              <w:kern w:val="2"/>
              <w:sz w:val="28"/>
              <w:szCs w:val="28"/>
              <w:lang w:val="en-US" w:eastAsia="zh-CN" w:bidi="ar-SA"/>
            </w:rPr>
            <w:fldChar w:fldCharType="separate"/>
          </w:r>
        </w:p>
        <w:p>
          <w:pPr>
            <w:pStyle w:val="9"/>
            <w:tabs>
              <w:tab w:val="right" w:leader="dot" w:pos="8306"/>
            </w:tabs>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_Toc8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1.用户登录</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_Toc8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3</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ind w:firstLine="280" w:firstLineChars="1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_Toc12996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1.1进入网站</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_Toc12996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3</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ind w:firstLine="280" w:firstLineChars="1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_Toc14002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1.2商城登录</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_Toc14002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3</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ind w:firstLine="280" w:firstLineChars="1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_Toc24180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1.3进入框采专区</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_Toc24180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4</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_Toc29881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2.上架入围服务产品</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_Toc29881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5</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ind w:firstLine="280" w:firstLineChars="1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_Toc20667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2.1维护服务基础信息</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_Toc20667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5</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ind w:firstLine="280" w:firstLineChars="1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_Toc18936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2.2上架服务</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_Toc18936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6</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_Toc14692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3.框采二阶段报价</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_Toc14692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8</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ind w:firstLine="280" w:firstLineChars="1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_Toc4325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3.1参与报价</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_Toc4325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8</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ind w:firstLine="280" w:firstLineChars="100"/>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HYPERLINK \l _Toc13190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3.2查看结果</w:t>
          </w:r>
          <w:r>
            <w:rPr>
              <w:rFonts w:hint="eastAsia" w:ascii="仿宋" w:hAnsi="仿宋" w:eastAsia="仿宋" w:cs="仿宋"/>
              <w:kern w:val="2"/>
              <w:sz w:val="28"/>
              <w:szCs w:val="28"/>
              <w:lang w:val="en-US" w:eastAsia="zh-CN" w:bidi="ar-SA"/>
            </w:rPr>
            <w:tab/>
          </w:r>
          <w:r>
            <w:rPr>
              <w:rFonts w:hint="eastAsia" w:ascii="仿宋" w:hAnsi="仿宋" w:eastAsia="仿宋" w:cs="仿宋"/>
              <w:kern w:val="2"/>
              <w:sz w:val="28"/>
              <w:szCs w:val="28"/>
              <w:lang w:val="en-US" w:eastAsia="zh-CN" w:bidi="ar-SA"/>
            </w:rPr>
            <w:fldChar w:fldCharType="begin"/>
          </w:r>
          <w:r>
            <w:rPr>
              <w:rFonts w:hint="eastAsia" w:ascii="仿宋" w:hAnsi="仿宋" w:eastAsia="仿宋" w:cs="仿宋"/>
              <w:kern w:val="2"/>
              <w:sz w:val="28"/>
              <w:szCs w:val="28"/>
              <w:lang w:val="en-US" w:eastAsia="zh-CN" w:bidi="ar-SA"/>
            </w:rPr>
            <w:instrText xml:space="preserve"> PAGEREF _Toc13190 \h </w:instrText>
          </w:r>
          <w:r>
            <w:rPr>
              <w:rFonts w:hint="eastAsia" w:ascii="仿宋" w:hAnsi="仿宋" w:eastAsia="仿宋" w:cs="仿宋"/>
              <w:kern w:val="2"/>
              <w:sz w:val="28"/>
              <w:szCs w:val="28"/>
              <w:lang w:val="en-US" w:eastAsia="zh-CN" w:bidi="ar-SA"/>
            </w:rPr>
            <w:fldChar w:fldCharType="separate"/>
          </w:r>
          <w:r>
            <w:rPr>
              <w:rFonts w:hint="eastAsia" w:ascii="仿宋" w:hAnsi="仿宋" w:eastAsia="仿宋" w:cs="仿宋"/>
              <w:kern w:val="2"/>
              <w:sz w:val="28"/>
              <w:szCs w:val="28"/>
              <w:lang w:val="en-US" w:eastAsia="zh-CN" w:bidi="ar-SA"/>
            </w:rPr>
            <w:t>10</w:t>
          </w:r>
          <w:r>
            <w:rPr>
              <w:rFonts w:hint="eastAsia" w:ascii="仿宋" w:hAnsi="仿宋" w:eastAsia="仿宋" w:cs="仿宋"/>
              <w:kern w:val="2"/>
              <w:sz w:val="28"/>
              <w:szCs w:val="28"/>
              <w:lang w:val="en-US" w:eastAsia="zh-CN" w:bidi="ar-SA"/>
            </w:rPr>
            <w:fldChar w:fldCharType="end"/>
          </w:r>
          <w:r>
            <w:rPr>
              <w:rFonts w:hint="eastAsia" w:ascii="仿宋" w:hAnsi="仿宋" w:eastAsia="仿宋" w:cs="仿宋"/>
              <w:kern w:val="2"/>
              <w:sz w:val="28"/>
              <w:szCs w:val="28"/>
              <w:lang w:val="en-US" w:eastAsia="zh-CN" w:bidi="ar-SA"/>
            </w:rPr>
            <w:fldChar w:fldCharType="end"/>
          </w:r>
        </w:p>
        <w:p>
          <w:pPr>
            <w:pStyle w:val="9"/>
            <w:tabs>
              <w:tab w:val="right" w:leader="dot" w:pos="8306"/>
            </w:tabs>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fldChar w:fldCharType="end"/>
          </w:r>
        </w:p>
      </w:sdtContent>
    </w:sdt>
    <w:p>
      <w:pPr>
        <w:rPr>
          <w:rFonts w:hint="eastAsia" w:ascii="黑体" w:hAnsi="黑体" w:eastAsia="黑体" w:cs="黑体"/>
          <w:kern w:val="2"/>
          <w:sz w:val="28"/>
          <w:szCs w:val="28"/>
          <w:lang w:val="en-US" w:eastAsia="zh-CN" w:bidi="ar-SA"/>
        </w:rPr>
      </w:pPr>
      <w:r>
        <w:rPr>
          <w:rFonts w:hint="eastAsia" w:ascii="黑体" w:hAnsi="黑体" w:eastAsia="黑体" w:cs="黑体"/>
          <w:kern w:val="2"/>
          <w:sz w:val="28"/>
          <w:szCs w:val="28"/>
          <w:lang w:val="en-US" w:eastAsia="zh-CN" w:bidi="ar-SA"/>
        </w:rPr>
        <w:br w:type="page"/>
      </w:r>
    </w:p>
    <w:p>
      <w:pPr>
        <w:pStyle w:val="10"/>
        <w:numPr>
          <w:ilvl w:val="0"/>
          <w:numId w:val="0"/>
        </w:numPr>
        <w:bidi w:val="0"/>
        <w:ind w:firstLine="562" w:firstLineChars="200"/>
        <w:rPr>
          <w:rFonts w:hint="eastAsia" w:ascii="黑体" w:hAnsi="黑体" w:eastAsia="黑体" w:cs="黑体"/>
          <w:kern w:val="2"/>
          <w:sz w:val="28"/>
          <w:szCs w:val="28"/>
          <w:lang w:val="en-US" w:eastAsia="zh-CN" w:bidi="ar-SA"/>
        </w:rPr>
      </w:pPr>
      <w:bookmarkStart w:id="22" w:name="_Toc8"/>
      <w:r>
        <w:rPr>
          <w:rFonts w:hint="eastAsia" w:ascii="黑体" w:hAnsi="黑体" w:eastAsia="黑体" w:cs="黑体"/>
          <w:kern w:val="2"/>
          <w:sz w:val="28"/>
          <w:szCs w:val="28"/>
          <w:lang w:val="en-US" w:eastAsia="zh-CN" w:bidi="ar-SA"/>
        </w:rPr>
        <w:t>1.用户登录</w:t>
      </w:r>
      <w:bookmarkEnd w:id="22"/>
    </w:p>
    <w:p>
      <w:pPr>
        <w:pStyle w:val="2"/>
        <w:tabs>
          <w:tab w:val="left" w:pos="0"/>
        </w:tabs>
        <w:ind w:firstLine="562" w:firstLineChars="200"/>
        <w:rPr>
          <w:rFonts w:hint="eastAsia" w:ascii="仿宋_GB2312" w:hAnsi="仿宋" w:eastAsia="仿宋_GB2312" w:cs="仿宋"/>
          <w:kern w:val="2"/>
          <w:sz w:val="28"/>
          <w:szCs w:val="28"/>
          <w:lang w:val="en-US" w:eastAsia="zh-CN" w:bidi="ar-SA"/>
        </w:rPr>
      </w:pPr>
      <w:bookmarkStart w:id="23" w:name="_Toc29636"/>
      <w:bookmarkStart w:id="24" w:name="_Toc12996"/>
      <w:bookmarkStart w:id="25" w:name="_Toc19027"/>
      <w:bookmarkStart w:id="26" w:name="_Toc9602"/>
      <w:r>
        <w:rPr>
          <w:rFonts w:hint="eastAsia" w:ascii="仿宋_GB2312" w:hAnsi="仿宋" w:eastAsia="仿宋_GB2312" w:cs="仿宋"/>
          <w:kern w:val="2"/>
          <w:sz w:val="28"/>
          <w:szCs w:val="28"/>
          <w:lang w:val="en-US" w:eastAsia="zh-CN" w:bidi="ar-SA"/>
        </w:rPr>
        <w:t>1.1进入网站</w:t>
      </w:r>
      <w:bookmarkEnd w:id="23"/>
      <w:bookmarkEnd w:id="24"/>
      <w:bookmarkEnd w:id="25"/>
      <w:bookmarkEnd w:id="26"/>
    </w:p>
    <w:p>
      <w:pPr>
        <w:keepNext w:val="0"/>
        <w:keepLines w:val="0"/>
        <w:pageBreakBefore w:val="0"/>
        <w:widowControl w:val="0"/>
        <w:kinsoku/>
        <w:wordWrap w:val="0"/>
        <w:overflowPunct/>
        <w:topLinePunct w:val="0"/>
        <w:autoSpaceDE/>
        <w:autoSpaceDN/>
        <w:bidi w:val="0"/>
        <w:adjustRightInd/>
        <w:snapToGrid/>
        <w:ind w:firstLine="482"/>
        <w:jc w:val="left"/>
        <w:textAlignment w:val="auto"/>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输入网址http://www.ccgp-shandong.gov.cn/sdgp2017/site/index.jsp进入山东政府采购网，点击右边【网上商城】栏目，或直接输入http://ggzyjyzx.shandong.gov.cn:8282/gpmall-main-web/进入网上商城。</w:t>
      </w:r>
    </w:p>
    <w:p>
      <w:pPr>
        <w:ind w:firstLine="480"/>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注意：网上商城供应商账号密码与山东政府采购信息公开平台的账号密码一致，如需修改账号密码，或忘记密码找回，请到山东政府采购信息公开平台系统中操作，网上商城不提供账号密码修改、找回功能。</w:t>
      </w:r>
    </w:p>
    <w:p>
      <w:pPr>
        <w:pStyle w:val="2"/>
        <w:tabs>
          <w:tab w:val="left" w:pos="0"/>
        </w:tabs>
        <w:spacing w:before="260" w:beforeLines="0" w:beforeAutospacing="0" w:after="260" w:afterLines="0" w:afterAutospacing="0" w:line="413" w:lineRule="auto"/>
        <w:outlineLvl w:val="9"/>
      </w:pPr>
      <w:bookmarkStart w:id="27" w:name="_Toc20421"/>
      <w:bookmarkStart w:id="28" w:name="_Toc17105"/>
      <w:bookmarkStart w:id="29" w:name="_Toc25158"/>
      <w:r>
        <w:drawing>
          <wp:inline distT="0" distB="0" distL="114300" distR="114300">
            <wp:extent cx="5266690" cy="2531745"/>
            <wp:effectExtent l="0" t="0" r="10160" b="190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
                    <a:stretch>
                      <a:fillRect/>
                    </a:stretch>
                  </pic:blipFill>
                  <pic:spPr>
                    <a:xfrm>
                      <a:off x="0" y="0"/>
                      <a:ext cx="5266690" cy="2531745"/>
                    </a:xfrm>
                    <a:prstGeom prst="rect">
                      <a:avLst/>
                    </a:prstGeom>
                    <a:noFill/>
                    <a:ln>
                      <a:noFill/>
                    </a:ln>
                  </pic:spPr>
                </pic:pic>
              </a:graphicData>
            </a:graphic>
          </wp:inline>
        </w:drawing>
      </w:r>
    </w:p>
    <w:p>
      <w:pPr>
        <w:pStyle w:val="2"/>
        <w:tabs>
          <w:tab w:val="left" w:pos="0"/>
        </w:tabs>
        <w:ind w:firstLine="562" w:firstLineChars="200"/>
        <w:rPr>
          <w:rFonts w:hint="eastAsia" w:ascii="仿宋_GB2312" w:hAnsi="仿宋" w:eastAsia="仿宋_GB2312" w:cs="仿宋"/>
          <w:kern w:val="2"/>
          <w:sz w:val="28"/>
          <w:szCs w:val="28"/>
          <w:lang w:val="en-US" w:eastAsia="zh-CN" w:bidi="ar-SA"/>
        </w:rPr>
      </w:pPr>
      <w:bookmarkStart w:id="30" w:name="_Toc14002"/>
      <w:r>
        <w:rPr>
          <w:rFonts w:hint="eastAsia" w:ascii="仿宋_GB2312" w:hAnsi="仿宋" w:eastAsia="仿宋_GB2312" w:cs="仿宋"/>
          <w:kern w:val="2"/>
          <w:sz w:val="28"/>
          <w:szCs w:val="28"/>
          <w:lang w:val="en-US" w:eastAsia="zh-CN" w:bidi="ar-SA"/>
        </w:rPr>
        <w:t>1.2商城登录</w:t>
      </w:r>
      <w:bookmarkEnd w:id="27"/>
      <w:bookmarkEnd w:id="28"/>
      <w:bookmarkEnd w:id="29"/>
      <w:bookmarkEnd w:id="30"/>
    </w:p>
    <w:p>
      <w:pPr>
        <w:ind w:firstLine="560" w:firstLineChars="200"/>
        <w:jc w:val="left"/>
      </w:pPr>
      <w:r>
        <w:rPr>
          <w:rFonts w:hint="eastAsia" w:ascii="仿宋_GB2312" w:hAnsi="仿宋" w:eastAsia="仿宋_GB2312" w:cs="仿宋"/>
          <w:kern w:val="2"/>
          <w:sz w:val="28"/>
          <w:szCs w:val="28"/>
          <w:lang w:val="en-US" w:eastAsia="zh-CN" w:bidi="ar-SA"/>
        </w:rPr>
        <w:t>进入商城首页后，登录时选择身份选择时选择供应商，输入用户名和密码（与山东政府采购信息公开平台的账号密码一致），输入验证码后点击【登录】，进入系统。</w:t>
      </w:r>
      <w:r>
        <w:drawing>
          <wp:inline distT="0" distB="0" distL="114300" distR="114300">
            <wp:extent cx="5274310" cy="252412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2524125"/>
                    </a:xfrm>
                    <a:prstGeom prst="rect">
                      <a:avLst/>
                    </a:prstGeom>
                    <a:noFill/>
                    <a:ln>
                      <a:noFill/>
                    </a:ln>
                  </pic:spPr>
                </pic:pic>
              </a:graphicData>
            </a:graphic>
          </wp:inline>
        </w:drawing>
      </w:r>
    </w:p>
    <w:p>
      <w:pPr>
        <w:ind w:firstLine="420" w:firstLineChars="200"/>
        <w:jc w:val="left"/>
      </w:pPr>
    </w:p>
    <w:p>
      <w:pPr>
        <w:ind w:firstLine="420" w:firstLineChars="200"/>
        <w:jc w:val="left"/>
      </w:pPr>
    </w:p>
    <w:p>
      <w:pPr>
        <w:ind w:firstLine="420" w:firstLineChars="200"/>
        <w:jc w:val="left"/>
      </w:pPr>
    </w:p>
    <w:p>
      <w:pPr>
        <w:ind w:firstLine="420" w:firstLineChars="200"/>
        <w:jc w:val="left"/>
      </w:pPr>
    </w:p>
    <w:p>
      <w:pPr>
        <w:jc w:val="left"/>
        <w:rPr>
          <w:rFonts w:hint="eastAsia"/>
          <w:lang w:val="en-US" w:eastAsia="zh-CN"/>
        </w:rPr>
      </w:pPr>
    </w:p>
    <w:p>
      <w:r>
        <w:drawing>
          <wp:inline distT="0" distB="0" distL="114300" distR="114300">
            <wp:extent cx="5266690" cy="2523490"/>
            <wp:effectExtent l="0" t="0" r="1016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6690" cy="2523490"/>
                    </a:xfrm>
                    <a:prstGeom prst="rect">
                      <a:avLst/>
                    </a:prstGeom>
                    <a:noFill/>
                    <a:ln>
                      <a:noFill/>
                    </a:ln>
                  </pic:spPr>
                </pic:pic>
              </a:graphicData>
            </a:graphic>
          </wp:inline>
        </w:drawing>
      </w:r>
    </w:p>
    <w:p>
      <w:pPr>
        <w:pStyle w:val="2"/>
        <w:tabs>
          <w:tab w:val="left" w:pos="0"/>
        </w:tabs>
        <w:outlineLvl w:val="9"/>
        <w:rPr>
          <w:rFonts w:hint="eastAsia" w:ascii="仿宋_GB2312" w:hAnsi="仿宋" w:eastAsia="仿宋_GB2312" w:cs="仿宋"/>
          <w:kern w:val="2"/>
          <w:sz w:val="28"/>
          <w:szCs w:val="28"/>
          <w:lang w:val="en-US" w:eastAsia="zh-CN" w:bidi="ar-SA"/>
        </w:rPr>
      </w:pPr>
      <w:bookmarkStart w:id="31" w:name="_Toc32053"/>
      <w:bookmarkStart w:id="32" w:name="_Toc22196"/>
    </w:p>
    <w:p>
      <w:pPr>
        <w:pStyle w:val="2"/>
        <w:tabs>
          <w:tab w:val="left" w:pos="0"/>
        </w:tabs>
        <w:ind w:firstLine="562" w:firstLineChars="200"/>
        <w:rPr>
          <w:rFonts w:hint="eastAsia" w:ascii="仿宋_GB2312" w:hAnsi="仿宋" w:eastAsia="仿宋_GB2312" w:cs="仿宋"/>
          <w:kern w:val="2"/>
          <w:sz w:val="28"/>
          <w:szCs w:val="28"/>
          <w:lang w:val="en-US" w:eastAsia="zh-CN" w:bidi="ar-SA"/>
        </w:rPr>
      </w:pPr>
      <w:bookmarkStart w:id="33" w:name="_Toc24180"/>
      <w:r>
        <w:rPr>
          <w:rFonts w:hint="eastAsia" w:ascii="仿宋_GB2312" w:hAnsi="仿宋" w:eastAsia="仿宋_GB2312" w:cs="仿宋"/>
          <w:kern w:val="2"/>
          <w:sz w:val="28"/>
          <w:szCs w:val="28"/>
          <w:lang w:val="en-US" w:eastAsia="zh-CN" w:bidi="ar-SA"/>
        </w:rPr>
        <w:t>1.3进入框采专区</w:t>
      </w:r>
      <w:bookmarkEnd w:id="31"/>
      <w:bookmarkEnd w:id="32"/>
      <w:bookmarkEnd w:id="33"/>
    </w:p>
    <w:p>
      <w:pPr>
        <w:numPr>
          <w:ilvl w:val="0"/>
          <w:numId w:val="0"/>
        </w:numPr>
        <w:ind w:firstLine="560" w:firstLineChars="200"/>
        <w:jc w:val="left"/>
        <w:rPr>
          <w:rFonts w:hint="default"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登录商城后，点击导航栏的【框架协议采购】，可进入框架协议采购专区。</w:t>
      </w:r>
    </w:p>
    <w:p>
      <w:pPr>
        <w:numPr>
          <w:ilvl w:val="0"/>
          <w:numId w:val="0"/>
        </w:numPr>
        <w:ind w:firstLine="420" w:firstLineChars="200"/>
        <w:jc w:val="left"/>
        <w:rPr>
          <w:rFonts w:hint="eastAsia" w:ascii="仿宋_GB2312" w:hAnsi="仿宋" w:eastAsia="仿宋_GB2312" w:cs="仿宋"/>
          <w:kern w:val="2"/>
          <w:sz w:val="28"/>
          <w:szCs w:val="28"/>
          <w:lang w:val="en-US" w:eastAsia="zh-CN" w:bidi="ar-SA"/>
        </w:rPr>
      </w:pPr>
      <w:r>
        <w:drawing>
          <wp:inline distT="0" distB="0" distL="114300" distR="114300">
            <wp:extent cx="5266690" cy="2520950"/>
            <wp:effectExtent l="0" t="0" r="1016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6690" cy="2520950"/>
                    </a:xfrm>
                    <a:prstGeom prst="rect">
                      <a:avLst/>
                    </a:prstGeom>
                    <a:noFill/>
                    <a:ln>
                      <a:noFill/>
                    </a:ln>
                  </pic:spPr>
                </pic:pic>
              </a:graphicData>
            </a:graphic>
          </wp:inline>
        </w:drawing>
      </w:r>
      <w:r>
        <w:rPr>
          <w:rFonts w:hint="eastAsia" w:ascii="仿宋_GB2312" w:hAnsi="仿宋" w:eastAsia="仿宋_GB2312" w:cs="仿宋"/>
          <w:kern w:val="2"/>
          <w:sz w:val="28"/>
          <w:szCs w:val="28"/>
          <w:lang w:val="en-US" w:eastAsia="zh-CN" w:bidi="ar-SA"/>
        </w:rPr>
        <w:t>点击【框采首页】，可查看通知公告、项目公告等，点击【框架协议】，可跳转至框架协议后台。</w:t>
      </w:r>
    </w:p>
    <w:p>
      <w:pPr>
        <w:numPr>
          <w:ilvl w:val="0"/>
          <w:numId w:val="0"/>
        </w:numPr>
        <w:ind w:firstLine="420" w:firstLineChars="200"/>
        <w:jc w:val="left"/>
        <w:rPr>
          <w:rFonts w:hint="eastAsia" w:ascii="仿宋_GB2312" w:hAnsi="仿宋" w:eastAsia="仿宋_GB2312" w:cs="仿宋"/>
          <w:kern w:val="2"/>
          <w:sz w:val="28"/>
          <w:szCs w:val="28"/>
          <w:lang w:val="en-US" w:eastAsia="zh-CN" w:bidi="ar-SA"/>
        </w:rPr>
      </w:pPr>
      <w:r>
        <w:drawing>
          <wp:inline distT="0" distB="0" distL="114300" distR="114300">
            <wp:extent cx="5264150" cy="2471420"/>
            <wp:effectExtent l="0" t="0" r="1270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4150" cy="2471420"/>
                    </a:xfrm>
                    <a:prstGeom prst="rect">
                      <a:avLst/>
                    </a:prstGeom>
                    <a:noFill/>
                    <a:ln>
                      <a:noFill/>
                    </a:ln>
                  </pic:spPr>
                </pic:pic>
              </a:graphicData>
            </a:graphic>
          </wp:inline>
        </w:drawing>
      </w:r>
    </w:p>
    <w:p>
      <w:pPr>
        <w:pStyle w:val="10"/>
        <w:numPr>
          <w:ilvl w:val="0"/>
          <w:numId w:val="0"/>
        </w:numPr>
        <w:bidi w:val="0"/>
        <w:ind w:firstLine="562" w:firstLineChars="200"/>
        <w:rPr>
          <w:rFonts w:hint="default" w:ascii="黑体" w:hAnsi="黑体" w:eastAsia="黑体" w:cs="黑体"/>
          <w:kern w:val="2"/>
          <w:sz w:val="28"/>
          <w:szCs w:val="28"/>
          <w:lang w:val="en-US" w:eastAsia="zh-CN" w:bidi="ar-SA"/>
        </w:rPr>
      </w:pPr>
      <w:bookmarkStart w:id="34" w:name="_Toc19265"/>
      <w:bookmarkStart w:id="35" w:name="_Toc29881"/>
      <w:r>
        <w:rPr>
          <w:rFonts w:hint="eastAsia" w:ascii="黑体" w:hAnsi="黑体" w:eastAsia="黑体" w:cs="黑体"/>
          <w:kern w:val="2"/>
          <w:sz w:val="28"/>
          <w:szCs w:val="28"/>
          <w:lang w:val="en-US" w:eastAsia="zh-CN" w:bidi="ar-SA"/>
        </w:rPr>
        <w:t>2.上架入围服务产品</w:t>
      </w:r>
      <w:bookmarkEnd w:id="34"/>
      <w:bookmarkEnd w:id="35"/>
    </w:p>
    <w:p>
      <w:pPr>
        <w:pStyle w:val="2"/>
        <w:bidi w:val="0"/>
        <w:ind w:firstLine="562" w:firstLineChars="200"/>
        <w:rPr>
          <w:rFonts w:hint="eastAsia" w:ascii="仿宋_GB2312" w:hAnsi="仿宋" w:eastAsia="仿宋_GB2312" w:cs="仿宋"/>
          <w:kern w:val="2"/>
          <w:sz w:val="28"/>
          <w:szCs w:val="28"/>
          <w:lang w:val="en-US" w:eastAsia="zh-CN" w:bidi="ar-SA"/>
        </w:rPr>
      </w:pPr>
      <w:bookmarkStart w:id="36" w:name="_Toc28422"/>
      <w:bookmarkStart w:id="37" w:name="_Toc20667"/>
      <w:r>
        <w:rPr>
          <w:rFonts w:hint="eastAsia" w:ascii="仿宋_GB2312" w:hAnsi="仿宋" w:eastAsia="仿宋_GB2312" w:cs="仿宋"/>
          <w:kern w:val="2"/>
          <w:sz w:val="28"/>
          <w:szCs w:val="28"/>
          <w:lang w:val="en-US" w:eastAsia="zh-CN" w:bidi="ar-SA"/>
        </w:rPr>
        <w:t>2.1</w:t>
      </w:r>
      <w:bookmarkEnd w:id="36"/>
      <w:r>
        <w:rPr>
          <w:rFonts w:hint="eastAsia" w:ascii="仿宋_GB2312" w:hAnsi="仿宋" w:eastAsia="仿宋_GB2312" w:cs="仿宋"/>
          <w:kern w:val="2"/>
          <w:sz w:val="28"/>
          <w:szCs w:val="28"/>
          <w:lang w:val="en-US" w:eastAsia="zh-CN" w:bidi="ar-SA"/>
        </w:rPr>
        <w:t>维护服务基础信息</w:t>
      </w:r>
      <w:bookmarkEnd w:id="37"/>
    </w:p>
    <w:p>
      <w:pPr>
        <w:numPr>
          <w:ilvl w:val="0"/>
          <w:numId w:val="0"/>
        </w:numPr>
        <w:ind w:firstLine="560" w:firstLineChars="200"/>
        <w:jc w:val="left"/>
      </w:pPr>
      <w:r>
        <w:rPr>
          <w:rFonts w:hint="eastAsia" w:ascii="仿宋_GB2312" w:hAnsi="仿宋" w:eastAsia="仿宋_GB2312" w:cs="仿宋"/>
          <w:kern w:val="2"/>
          <w:sz w:val="28"/>
          <w:szCs w:val="28"/>
          <w:lang w:val="en-US" w:eastAsia="zh-CN" w:bidi="ar-SA"/>
        </w:rPr>
        <w:t>供应商在【框采服务管理】-【服务基础信息】中，需提前维护各入围服务品目的基础信息。点击【新增】，可进行具体服务信息的维护，其中【模板名称】为入围供应商名称，【品目名称】选择【其他印刷服务】，其他信息根据实际情况录入。编辑完成后，点击【保存】。入围相同服务品目的框架协议时，服务基础信息可共用</w:t>
      </w:r>
      <w:r>
        <w:drawing>
          <wp:inline distT="0" distB="0" distL="114300" distR="114300">
            <wp:extent cx="5266690" cy="2518410"/>
            <wp:effectExtent l="0" t="0" r="10160" b="152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5266690" cy="2518410"/>
                    </a:xfrm>
                    <a:prstGeom prst="rect">
                      <a:avLst/>
                    </a:prstGeom>
                    <a:noFill/>
                    <a:ln>
                      <a:noFill/>
                    </a:ln>
                  </pic:spPr>
                </pic:pic>
              </a:graphicData>
            </a:graphic>
          </wp:inline>
        </w:drawing>
      </w:r>
      <w:r>
        <w:drawing>
          <wp:inline distT="0" distB="0" distL="114300" distR="114300">
            <wp:extent cx="5266690" cy="2523490"/>
            <wp:effectExtent l="0" t="0" r="10160"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0"/>
                    <a:stretch>
                      <a:fillRect/>
                    </a:stretch>
                  </pic:blipFill>
                  <pic:spPr>
                    <a:xfrm>
                      <a:off x="0" y="0"/>
                      <a:ext cx="5266690" cy="2523490"/>
                    </a:xfrm>
                    <a:prstGeom prst="rect">
                      <a:avLst/>
                    </a:prstGeom>
                    <a:noFill/>
                    <a:ln>
                      <a:noFill/>
                    </a:ln>
                  </pic:spPr>
                </pic:pic>
              </a:graphicData>
            </a:graphic>
          </wp:inline>
        </w:drawing>
      </w:r>
    </w:p>
    <w:p>
      <w:pPr>
        <w:pStyle w:val="2"/>
        <w:bidi w:val="0"/>
        <w:ind w:firstLine="562" w:firstLineChars="200"/>
        <w:rPr>
          <w:rFonts w:hint="eastAsia" w:ascii="仿宋_GB2312" w:hAnsi="仿宋" w:eastAsia="仿宋_GB2312" w:cs="仿宋"/>
          <w:kern w:val="2"/>
          <w:sz w:val="28"/>
          <w:szCs w:val="28"/>
          <w:lang w:val="en-US" w:eastAsia="zh-CN" w:bidi="ar-SA"/>
        </w:rPr>
      </w:pPr>
      <w:bookmarkStart w:id="38" w:name="_Toc18936"/>
      <w:bookmarkStart w:id="39" w:name="_Toc20677"/>
      <w:r>
        <w:rPr>
          <w:rFonts w:hint="eastAsia" w:ascii="仿宋_GB2312" w:hAnsi="仿宋" w:eastAsia="仿宋_GB2312" w:cs="仿宋"/>
          <w:kern w:val="2"/>
          <w:sz w:val="28"/>
          <w:szCs w:val="28"/>
          <w:lang w:val="en-US" w:eastAsia="zh-CN" w:bidi="ar-SA"/>
        </w:rPr>
        <w:t>2.2上架服务</w:t>
      </w:r>
      <w:bookmarkEnd w:id="38"/>
      <w:bookmarkEnd w:id="39"/>
    </w:p>
    <w:p>
      <w:pPr>
        <w:numPr>
          <w:ilvl w:val="0"/>
          <w:numId w:val="0"/>
        </w:numPr>
        <w:ind w:firstLine="560" w:firstLineChars="200"/>
        <w:jc w:val="left"/>
        <w:rPr>
          <w:rFonts w:hint="default"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供应商在【框采服务管理】-【入围服务库】中，找到新入围的框架协议，点击【编辑】。</w:t>
      </w:r>
      <w:r>
        <w:drawing>
          <wp:inline distT="0" distB="0" distL="114300" distR="114300">
            <wp:extent cx="5266690" cy="2523490"/>
            <wp:effectExtent l="0" t="0" r="10160" b="1016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266690" cy="2523490"/>
                    </a:xfrm>
                    <a:prstGeom prst="rect">
                      <a:avLst/>
                    </a:prstGeom>
                    <a:noFill/>
                    <a:ln>
                      <a:noFill/>
                    </a:ln>
                  </pic:spPr>
                </pic:pic>
              </a:graphicData>
            </a:graphic>
          </wp:inline>
        </w:drawing>
      </w:r>
    </w:p>
    <w:p>
      <w:pPr>
        <w:numPr>
          <w:ilvl w:val="0"/>
          <w:numId w:val="0"/>
        </w:numPr>
        <w:ind w:firstLine="420" w:firstLineChars="200"/>
        <w:jc w:val="left"/>
      </w:pPr>
    </w:p>
    <w:p>
      <w:pPr>
        <w:numPr>
          <w:ilvl w:val="0"/>
          <w:numId w:val="0"/>
        </w:numPr>
        <w:ind w:firstLine="560" w:firstLineChars="200"/>
        <w:jc w:val="left"/>
        <w:rPr>
          <w:rFonts w:hint="default"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选择提前维护好的服务基础信息，将该入围框架协议与服务信息模板关联。</w:t>
      </w:r>
    </w:p>
    <w:p>
      <w:pPr>
        <w:numPr>
          <w:ilvl w:val="0"/>
          <w:numId w:val="0"/>
        </w:numPr>
        <w:jc w:val="left"/>
      </w:pPr>
      <w:r>
        <w:drawing>
          <wp:inline distT="0" distB="0" distL="114300" distR="114300">
            <wp:extent cx="5266690" cy="2523490"/>
            <wp:effectExtent l="0" t="0" r="10160" b="1016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2"/>
                    <a:stretch>
                      <a:fillRect/>
                    </a:stretch>
                  </pic:blipFill>
                  <pic:spPr>
                    <a:xfrm>
                      <a:off x="0" y="0"/>
                      <a:ext cx="5266690" cy="2523490"/>
                    </a:xfrm>
                    <a:prstGeom prst="rect">
                      <a:avLst/>
                    </a:prstGeom>
                    <a:noFill/>
                    <a:ln>
                      <a:noFill/>
                    </a:ln>
                  </pic:spPr>
                </pic:pic>
              </a:graphicData>
            </a:graphic>
          </wp:inline>
        </w:drawing>
      </w:r>
    </w:p>
    <w:p>
      <w:pPr>
        <w:numPr>
          <w:ilvl w:val="0"/>
          <w:numId w:val="0"/>
        </w:numPr>
        <w:ind w:firstLine="560" w:firstLineChars="200"/>
        <w:jc w:val="left"/>
        <w:rPr>
          <w:rFonts w:hint="default"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关联服务模板后，需维护供应商服务区域。点击【选择服务区域】，在服务区域中，勾选供应商能服务到的范围。此处选择的服务区域，不限制供应商交易区域。</w:t>
      </w:r>
    </w:p>
    <w:p>
      <w:pPr>
        <w:numPr>
          <w:ilvl w:val="0"/>
          <w:numId w:val="0"/>
        </w:numPr>
        <w:jc w:val="left"/>
      </w:pPr>
      <w:r>
        <w:drawing>
          <wp:inline distT="0" distB="0" distL="114300" distR="114300">
            <wp:extent cx="5258435" cy="2506980"/>
            <wp:effectExtent l="0" t="0" r="18415" b="762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3"/>
                    <a:stretch>
                      <a:fillRect/>
                    </a:stretch>
                  </pic:blipFill>
                  <pic:spPr>
                    <a:xfrm>
                      <a:off x="0" y="0"/>
                      <a:ext cx="5258435" cy="2506980"/>
                    </a:xfrm>
                    <a:prstGeom prst="rect">
                      <a:avLst/>
                    </a:prstGeom>
                    <a:noFill/>
                    <a:ln>
                      <a:noFill/>
                    </a:ln>
                  </pic:spPr>
                </pic:pic>
              </a:graphicData>
            </a:graphic>
          </wp:inline>
        </w:drawing>
      </w:r>
    </w:p>
    <w:p>
      <w:pPr>
        <w:numPr>
          <w:ilvl w:val="0"/>
          <w:numId w:val="0"/>
        </w:numPr>
        <w:ind w:firstLine="560" w:firstLineChars="200"/>
        <w:jc w:val="left"/>
        <w:rPr>
          <w:rFonts w:hint="default" w:eastAsiaTheme="minorEastAsia"/>
          <w:lang w:val="en-US" w:eastAsia="zh-CN"/>
        </w:rPr>
      </w:pPr>
      <w:r>
        <w:rPr>
          <w:rFonts w:hint="eastAsia" w:ascii="仿宋_GB2312" w:hAnsi="仿宋" w:eastAsia="仿宋_GB2312" w:cs="仿宋"/>
          <w:kern w:val="2"/>
          <w:sz w:val="28"/>
          <w:szCs w:val="28"/>
          <w:lang w:val="en-US" w:eastAsia="zh-CN" w:bidi="ar-SA"/>
        </w:rPr>
        <w:t>维护经营地址处，点击【新增】，可添加公司的实际经营地址。</w:t>
      </w:r>
    </w:p>
    <w:p>
      <w:pPr>
        <w:numPr>
          <w:ilvl w:val="0"/>
          <w:numId w:val="0"/>
        </w:numPr>
        <w:ind w:firstLine="420" w:firstLineChars="200"/>
        <w:jc w:val="left"/>
      </w:pPr>
      <w:r>
        <w:drawing>
          <wp:inline distT="0" distB="0" distL="114300" distR="114300">
            <wp:extent cx="5266690" cy="2496185"/>
            <wp:effectExtent l="0" t="0" r="10160" b="1841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4"/>
                    <a:stretch>
                      <a:fillRect/>
                    </a:stretch>
                  </pic:blipFill>
                  <pic:spPr>
                    <a:xfrm>
                      <a:off x="0" y="0"/>
                      <a:ext cx="5266690" cy="2496185"/>
                    </a:xfrm>
                    <a:prstGeom prst="rect">
                      <a:avLst/>
                    </a:prstGeom>
                    <a:noFill/>
                    <a:ln>
                      <a:noFill/>
                    </a:ln>
                  </pic:spPr>
                </pic:pic>
              </a:graphicData>
            </a:graphic>
          </wp:inline>
        </w:drawing>
      </w:r>
    </w:p>
    <w:p>
      <w:pPr>
        <w:numPr>
          <w:ilvl w:val="0"/>
          <w:numId w:val="0"/>
        </w:numPr>
        <w:ind w:firstLine="420" w:firstLineChars="200"/>
        <w:jc w:val="left"/>
      </w:pPr>
    </w:p>
    <w:p>
      <w:pPr>
        <w:numPr>
          <w:ilvl w:val="0"/>
          <w:numId w:val="0"/>
        </w:numPr>
        <w:ind w:firstLine="560" w:firstLineChars="200"/>
        <w:jc w:val="left"/>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维护完信息后，点击【提交上架】，上架后，采购人便可在框采前台直接选定供应商，发起项目。</w:t>
      </w:r>
    </w:p>
    <w:p>
      <w:pPr>
        <w:numPr>
          <w:ilvl w:val="0"/>
          <w:numId w:val="0"/>
        </w:numPr>
        <w:jc w:val="left"/>
      </w:pPr>
      <w:r>
        <w:drawing>
          <wp:inline distT="0" distB="0" distL="114300" distR="114300">
            <wp:extent cx="5266690" cy="2520950"/>
            <wp:effectExtent l="0" t="0" r="10160" b="1270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5"/>
                    <a:stretch>
                      <a:fillRect/>
                    </a:stretch>
                  </pic:blipFill>
                  <pic:spPr>
                    <a:xfrm>
                      <a:off x="0" y="0"/>
                      <a:ext cx="5266690" cy="2520950"/>
                    </a:xfrm>
                    <a:prstGeom prst="rect">
                      <a:avLst/>
                    </a:prstGeom>
                    <a:noFill/>
                    <a:ln>
                      <a:noFill/>
                    </a:ln>
                  </pic:spPr>
                </pic:pic>
              </a:graphicData>
            </a:graphic>
          </wp:inline>
        </w:drawing>
      </w:r>
    </w:p>
    <w:p>
      <w:pPr>
        <w:pStyle w:val="10"/>
        <w:numPr>
          <w:ilvl w:val="0"/>
          <w:numId w:val="0"/>
        </w:numPr>
        <w:bidi w:val="0"/>
        <w:ind w:firstLine="562" w:firstLineChars="200"/>
        <w:rPr>
          <w:rFonts w:hint="eastAsia" w:ascii="仿宋_GB2312" w:hAnsi="仿宋" w:eastAsia="仿宋_GB2312" w:cs="仿宋"/>
          <w:kern w:val="2"/>
          <w:sz w:val="28"/>
          <w:szCs w:val="28"/>
          <w:lang w:val="en-US" w:eastAsia="zh-CN" w:bidi="ar-SA"/>
        </w:rPr>
      </w:pPr>
      <w:bookmarkStart w:id="40" w:name="_Toc14692"/>
      <w:bookmarkStart w:id="41" w:name="_Toc18824"/>
      <w:r>
        <w:rPr>
          <w:rFonts w:hint="eastAsia" w:ascii="黑体" w:hAnsi="黑体" w:eastAsia="黑体" w:cs="黑体"/>
          <w:kern w:val="2"/>
          <w:sz w:val="28"/>
          <w:szCs w:val="28"/>
          <w:lang w:val="en-US" w:eastAsia="zh-CN" w:bidi="ar-SA"/>
        </w:rPr>
        <w:t>3.框采二阶段报价</w:t>
      </w:r>
      <w:bookmarkEnd w:id="40"/>
      <w:bookmarkEnd w:id="41"/>
    </w:p>
    <w:p>
      <w:pPr>
        <w:pStyle w:val="2"/>
        <w:bidi w:val="0"/>
        <w:ind w:firstLine="562" w:firstLineChars="200"/>
        <w:rPr>
          <w:rFonts w:hint="eastAsia" w:ascii="仿宋_GB2312" w:hAnsi="仿宋" w:eastAsia="仿宋_GB2312" w:cs="仿宋"/>
          <w:kern w:val="2"/>
          <w:sz w:val="28"/>
          <w:szCs w:val="28"/>
          <w:lang w:val="en-US" w:eastAsia="zh-CN" w:bidi="ar-SA"/>
        </w:rPr>
      </w:pPr>
      <w:bookmarkStart w:id="42" w:name="_Toc4325"/>
      <w:bookmarkStart w:id="43" w:name="_Toc31627"/>
      <w:r>
        <w:rPr>
          <w:rFonts w:hint="eastAsia" w:ascii="仿宋_GB2312" w:hAnsi="仿宋" w:eastAsia="仿宋_GB2312" w:cs="仿宋"/>
          <w:kern w:val="2"/>
          <w:sz w:val="28"/>
          <w:szCs w:val="28"/>
          <w:lang w:val="en-US" w:eastAsia="zh-CN" w:bidi="ar-SA"/>
        </w:rPr>
        <w:t>3.1参与报价</w:t>
      </w:r>
      <w:bookmarkEnd w:id="42"/>
      <w:bookmarkEnd w:id="43"/>
    </w:p>
    <w:p>
      <w:pPr>
        <w:numPr>
          <w:ilvl w:val="0"/>
          <w:numId w:val="0"/>
        </w:numPr>
        <w:ind w:firstLine="560" w:firstLineChars="200"/>
        <w:jc w:val="left"/>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采购人发布项目后，供应商可在【框采交易管理】-【直接选定】中查看项目，点击【查看】，可查看项目具体信息，点击【去报价】，可进入供应商报价页面。</w:t>
      </w:r>
    </w:p>
    <w:p>
      <w:pPr>
        <w:numPr>
          <w:ilvl w:val="0"/>
          <w:numId w:val="0"/>
        </w:numPr>
        <w:jc w:val="left"/>
      </w:pPr>
      <w:r>
        <w:drawing>
          <wp:inline distT="0" distB="0" distL="114300" distR="114300">
            <wp:extent cx="5231130" cy="2501265"/>
            <wp:effectExtent l="0" t="0" r="7620" b="1333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6"/>
                    <a:stretch>
                      <a:fillRect/>
                    </a:stretch>
                  </pic:blipFill>
                  <pic:spPr>
                    <a:xfrm>
                      <a:off x="0" y="0"/>
                      <a:ext cx="5231130" cy="2501265"/>
                    </a:xfrm>
                    <a:prstGeom prst="rect">
                      <a:avLst/>
                    </a:prstGeom>
                    <a:noFill/>
                    <a:ln>
                      <a:noFill/>
                    </a:ln>
                  </pic:spPr>
                </pic:pic>
              </a:graphicData>
            </a:graphic>
          </wp:inline>
        </w:drawing>
      </w:r>
    </w:p>
    <w:p>
      <w:pPr>
        <w:numPr>
          <w:ilvl w:val="0"/>
          <w:numId w:val="0"/>
        </w:numPr>
        <w:jc w:val="left"/>
        <w:rPr>
          <w:rFonts w:hint="default" w:eastAsiaTheme="minorEastAsia"/>
          <w:lang w:val="en-US" w:eastAsia="zh-CN"/>
        </w:rPr>
      </w:pPr>
      <w:r>
        <w:rPr>
          <w:rFonts w:hint="eastAsia"/>
          <w:lang w:val="en-US" w:eastAsia="zh-CN"/>
        </w:rPr>
        <w:t>印刷服务供应商报价方式为折扣率，同一个协议（包）内的服务项为同一折扣率，协议入围价格即为一阶段此供应商征集入围折扣率。</w:t>
      </w:r>
    </w:p>
    <w:p>
      <w:pPr>
        <w:numPr>
          <w:ilvl w:val="0"/>
          <w:numId w:val="0"/>
        </w:numPr>
        <w:jc w:val="left"/>
      </w:pPr>
      <w:r>
        <w:drawing>
          <wp:inline distT="0" distB="0" distL="114300" distR="114300">
            <wp:extent cx="5260975" cy="2364105"/>
            <wp:effectExtent l="0" t="0" r="15875" b="1714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7"/>
                    <a:stretch>
                      <a:fillRect/>
                    </a:stretch>
                  </pic:blipFill>
                  <pic:spPr>
                    <a:xfrm>
                      <a:off x="0" y="0"/>
                      <a:ext cx="5260975" cy="2364105"/>
                    </a:xfrm>
                    <a:prstGeom prst="rect">
                      <a:avLst/>
                    </a:prstGeom>
                    <a:noFill/>
                    <a:ln>
                      <a:noFill/>
                    </a:ln>
                  </pic:spPr>
                </pic:pic>
              </a:graphicData>
            </a:graphic>
          </wp:inline>
        </w:drawing>
      </w:r>
    </w:p>
    <w:p>
      <w:pPr>
        <w:numPr>
          <w:ilvl w:val="0"/>
          <w:numId w:val="0"/>
        </w:numPr>
        <w:jc w:val="left"/>
        <w:rPr>
          <w:rFonts w:hint="default" w:eastAsiaTheme="minorEastAsia"/>
          <w:lang w:val="en-US" w:eastAsia="zh-CN"/>
        </w:rPr>
      </w:pPr>
      <w:r>
        <w:rPr>
          <w:rFonts w:hint="eastAsia"/>
          <w:lang w:val="en-US" w:eastAsia="zh-CN"/>
        </w:rPr>
        <w:t>供应商在报价处填写数据为折扣率，该折扣率不可高协议入围价格折扣</w:t>
      </w:r>
    </w:p>
    <w:p>
      <w:pPr>
        <w:numPr>
          <w:ilvl w:val="0"/>
          <w:numId w:val="0"/>
        </w:numPr>
        <w:jc w:val="left"/>
      </w:pPr>
      <w:r>
        <w:drawing>
          <wp:inline distT="0" distB="0" distL="114300" distR="114300">
            <wp:extent cx="5266690" cy="2515235"/>
            <wp:effectExtent l="0" t="0" r="10160" b="1841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8"/>
                    <a:stretch>
                      <a:fillRect/>
                    </a:stretch>
                  </pic:blipFill>
                  <pic:spPr>
                    <a:xfrm>
                      <a:off x="0" y="0"/>
                      <a:ext cx="5266690" cy="2515235"/>
                    </a:xfrm>
                    <a:prstGeom prst="rect">
                      <a:avLst/>
                    </a:prstGeom>
                    <a:noFill/>
                    <a:ln>
                      <a:noFill/>
                    </a:ln>
                  </pic:spPr>
                </pic:pic>
              </a:graphicData>
            </a:graphic>
          </wp:inline>
        </w:drawing>
      </w:r>
    </w:p>
    <w:p>
      <w:pPr>
        <w:numPr>
          <w:ilvl w:val="0"/>
          <w:numId w:val="0"/>
        </w:numPr>
        <w:ind w:firstLine="420" w:firstLineChars="200"/>
        <w:jc w:val="left"/>
      </w:pPr>
    </w:p>
    <w:p>
      <w:pPr>
        <w:numPr>
          <w:ilvl w:val="0"/>
          <w:numId w:val="0"/>
        </w:numPr>
        <w:ind w:firstLine="420" w:firstLineChars="200"/>
        <w:jc w:val="left"/>
      </w:pPr>
    </w:p>
    <w:p>
      <w:pPr>
        <w:numPr>
          <w:ilvl w:val="0"/>
          <w:numId w:val="0"/>
        </w:numPr>
        <w:ind w:firstLine="560" w:firstLineChars="200"/>
        <w:jc w:val="left"/>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报价信息录入完成，点击【提交报价】，报价不可超过采购人预算。</w:t>
      </w:r>
    </w:p>
    <w:p>
      <w:pPr>
        <w:numPr>
          <w:ilvl w:val="0"/>
          <w:numId w:val="0"/>
        </w:numPr>
        <w:jc w:val="left"/>
        <w:rPr>
          <w:rFonts w:hint="default" w:ascii="仿宋_GB2312" w:hAnsi="仿宋" w:eastAsia="仿宋_GB2312" w:cs="仿宋"/>
          <w:kern w:val="2"/>
          <w:sz w:val="28"/>
          <w:szCs w:val="28"/>
          <w:lang w:val="en-US" w:eastAsia="zh-CN" w:bidi="ar-SA"/>
        </w:rPr>
      </w:pPr>
      <w:r>
        <w:drawing>
          <wp:inline distT="0" distB="0" distL="114300" distR="114300">
            <wp:extent cx="5266690" cy="2444115"/>
            <wp:effectExtent l="0" t="0" r="10160" b="1333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9"/>
                    <a:stretch>
                      <a:fillRect/>
                    </a:stretch>
                  </pic:blipFill>
                  <pic:spPr>
                    <a:xfrm>
                      <a:off x="0" y="0"/>
                      <a:ext cx="5266690" cy="2444115"/>
                    </a:xfrm>
                    <a:prstGeom prst="rect">
                      <a:avLst/>
                    </a:prstGeom>
                    <a:noFill/>
                    <a:ln>
                      <a:noFill/>
                    </a:ln>
                  </pic:spPr>
                </pic:pic>
              </a:graphicData>
            </a:graphic>
          </wp:inline>
        </w:drawing>
      </w:r>
    </w:p>
    <w:p>
      <w:pPr>
        <w:numPr>
          <w:ilvl w:val="0"/>
          <w:numId w:val="0"/>
        </w:numPr>
        <w:ind w:firstLine="560" w:firstLineChars="200"/>
        <w:jc w:val="left"/>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提交报价后，供应商可在直接选定项目列表中看到项目状态为【结果待确认】，点击【查看】项目信息及报价信息，等待采购人确认即可。</w:t>
      </w:r>
      <w:r>
        <w:drawing>
          <wp:inline distT="0" distB="0" distL="114300" distR="114300">
            <wp:extent cx="5266690" cy="2526665"/>
            <wp:effectExtent l="0" t="0" r="10160" b="698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20"/>
                    <a:stretch>
                      <a:fillRect/>
                    </a:stretch>
                  </pic:blipFill>
                  <pic:spPr>
                    <a:xfrm>
                      <a:off x="0" y="0"/>
                      <a:ext cx="5266690" cy="2526665"/>
                    </a:xfrm>
                    <a:prstGeom prst="rect">
                      <a:avLst/>
                    </a:prstGeom>
                    <a:noFill/>
                    <a:ln>
                      <a:noFill/>
                    </a:ln>
                  </pic:spPr>
                </pic:pic>
              </a:graphicData>
            </a:graphic>
          </wp:inline>
        </w:drawing>
      </w:r>
    </w:p>
    <w:p>
      <w:pPr>
        <w:numPr>
          <w:ilvl w:val="0"/>
          <w:numId w:val="0"/>
        </w:numPr>
        <w:ind w:firstLine="560" w:firstLineChars="200"/>
        <w:jc w:val="left"/>
        <w:rPr>
          <w:rFonts w:hint="eastAsia" w:ascii="仿宋_GB2312" w:hAnsi="仿宋" w:eastAsia="仿宋_GB2312" w:cs="仿宋"/>
          <w:kern w:val="2"/>
          <w:sz w:val="28"/>
          <w:szCs w:val="28"/>
          <w:lang w:val="en-US" w:eastAsia="zh-CN" w:bidi="ar-SA"/>
        </w:rPr>
      </w:pPr>
    </w:p>
    <w:p>
      <w:pPr>
        <w:numPr>
          <w:ilvl w:val="0"/>
          <w:numId w:val="0"/>
        </w:numPr>
        <w:ind w:firstLine="560" w:firstLineChars="200"/>
        <w:jc w:val="left"/>
        <w:rPr>
          <w:rFonts w:hint="eastAsia" w:ascii="仿宋_GB2312" w:hAnsi="仿宋" w:eastAsia="仿宋_GB2312" w:cs="仿宋"/>
          <w:kern w:val="2"/>
          <w:sz w:val="28"/>
          <w:szCs w:val="28"/>
          <w:lang w:val="en-US" w:eastAsia="zh-CN" w:bidi="ar-SA"/>
        </w:rPr>
      </w:pPr>
    </w:p>
    <w:p>
      <w:pPr>
        <w:pStyle w:val="2"/>
        <w:bidi w:val="0"/>
        <w:ind w:firstLine="562" w:firstLineChars="200"/>
        <w:rPr>
          <w:rFonts w:hint="eastAsia" w:ascii="仿宋_GB2312" w:hAnsi="仿宋" w:eastAsia="仿宋_GB2312" w:cs="仿宋"/>
          <w:kern w:val="2"/>
          <w:sz w:val="28"/>
          <w:szCs w:val="28"/>
          <w:lang w:val="en-US" w:eastAsia="zh-CN" w:bidi="ar-SA"/>
        </w:rPr>
      </w:pPr>
      <w:bookmarkStart w:id="44" w:name="_Toc18515"/>
      <w:bookmarkStart w:id="45" w:name="_Toc13190"/>
      <w:r>
        <w:rPr>
          <w:rFonts w:hint="eastAsia" w:ascii="仿宋_GB2312" w:hAnsi="仿宋" w:eastAsia="仿宋_GB2312" w:cs="仿宋"/>
          <w:kern w:val="2"/>
          <w:sz w:val="28"/>
          <w:szCs w:val="28"/>
          <w:lang w:val="en-US" w:eastAsia="zh-CN" w:bidi="ar-SA"/>
        </w:rPr>
        <w:t>3.2查看结果</w:t>
      </w:r>
      <w:bookmarkEnd w:id="44"/>
      <w:bookmarkEnd w:id="45"/>
    </w:p>
    <w:p>
      <w:pPr>
        <w:numPr>
          <w:ilvl w:val="0"/>
          <w:numId w:val="0"/>
        </w:numPr>
        <w:ind w:firstLine="560" w:firstLineChars="200"/>
        <w:jc w:val="left"/>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t>采购人确认供应商报价后，项目状态变为【项目成功】，点击【查看】，可以查看此项目信息及报价信息。</w:t>
      </w:r>
    </w:p>
    <w:p>
      <w:pPr>
        <w:numPr>
          <w:ilvl w:val="0"/>
          <w:numId w:val="0"/>
        </w:numPr>
        <w:jc w:val="left"/>
        <w:rPr>
          <w:rFonts w:hint="eastAsia"/>
          <w:lang w:val="en-US" w:eastAsia="zh-CN"/>
        </w:rPr>
      </w:pPr>
      <w:r>
        <w:drawing>
          <wp:inline distT="0" distB="0" distL="114300" distR="114300">
            <wp:extent cx="5266690" cy="2531745"/>
            <wp:effectExtent l="0" t="0" r="10160" b="190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21"/>
                    <a:stretch>
                      <a:fillRect/>
                    </a:stretch>
                  </pic:blipFill>
                  <pic:spPr>
                    <a:xfrm>
                      <a:off x="0" y="0"/>
                      <a:ext cx="5266690" cy="253174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BD8135"/>
    <w:multiLevelType w:val="singleLevel"/>
    <w:tmpl w:val="D8BD8135"/>
    <w:lvl w:ilvl="0" w:tentative="0">
      <w:start w:val="1"/>
      <w:numFmt w:val="chineseCounting"/>
      <w:pStyle w:val="10"/>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0M2M0ZjlkNWMwMGU3NGEwYjExMDEwMGY5OWEzZDAifQ=="/>
  </w:docVars>
  <w:rsids>
    <w:rsidRoot w:val="38677DC3"/>
    <w:rsid w:val="00B17F29"/>
    <w:rsid w:val="018B67E5"/>
    <w:rsid w:val="01B73A92"/>
    <w:rsid w:val="04840630"/>
    <w:rsid w:val="08200D16"/>
    <w:rsid w:val="08400C6A"/>
    <w:rsid w:val="0AE2243D"/>
    <w:rsid w:val="0BBB781B"/>
    <w:rsid w:val="0CA811E6"/>
    <w:rsid w:val="0CCB71B5"/>
    <w:rsid w:val="0E282CD7"/>
    <w:rsid w:val="11F0177A"/>
    <w:rsid w:val="136D4F75"/>
    <w:rsid w:val="172B1F57"/>
    <w:rsid w:val="1D2C129C"/>
    <w:rsid w:val="1F0300D5"/>
    <w:rsid w:val="204D5420"/>
    <w:rsid w:val="257814FD"/>
    <w:rsid w:val="26AB1F6A"/>
    <w:rsid w:val="27422EE0"/>
    <w:rsid w:val="2D692288"/>
    <w:rsid w:val="2F05046A"/>
    <w:rsid w:val="30B4367E"/>
    <w:rsid w:val="36145D81"/>
    <w:rsid w:val="38677DC3"/>
    <w:rsid w:val="38A7269B"/>
    <w:rsid w:val="3A161DBF"/>
    <w:rsid w:val="3A5A1574"/>
    <w:rsid w:val="3CB97A7A"/>
    <w:rsid w:val="3EBF4D71"/>
    <w:rsid w:val="3EF03162"/>
    <w:rsid w:val="43A00155"/>
    <w:rsid w:val="44506F33"/>
    <w:rsid w:val="48EE3851"/>
    <w:rsid w:val="4BD777FC"/>
    <w:rsid w:val="4BEB6533"/>
    <w:rsid w:val="4C7A5501"/>
    <w:rsid w:val="4D022531"/>
    <w:rsid w:val="544842C5"/>
    <w:rsid w:val="57D85D24"/>
    <w:rsid w:val="59E96A11"/>
    <w:rsid w:val="5A714BE4"/>
    <w:rsid w:val="5B032E87"/>
    <w:rsid w:val="5B270AAA"/>
    <w:rsid w:val="5BB934AC"/>
    <w:rsid w:val="5D0A13E8"/>
    <w:rsid w:val="5DF75402"/>
    <w:rsid w:val="5E5C5789"/>
    <w:rsid w:val="62930FF0"/>
    <w:rsid w:val="630B488A"/>
    <w:rsid w:val="63B81045"/>
    <w:rsid w:val="687606A5"/>
    <w:rsid w:val="6C4A54A5"/>
    <w:rsid w:val="6F63027D"/>
    <w:rsid w:val="70AD5185"/>
    <w:rsid w:val="72473A81"/>
    <w:rsid w:val="738A63F5"/>
    <w:rsid w:val="752415A6"/>
    <w:rsid w:val="78080F02"/>
    <w:rsid w:val="7AC17D39"/>
    <w:rsid w:val="7BB43943"/>
    <w:rsid w:val="7C7643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8"/>
    <w:autoRedefine/>
    <w:semiHidden/>
    <w:unhideWhenUsed/>
    <w:qFormat/>
    <w:uiPriority w:val="0"/>
    <w:pPr>
      <w:keepNext/>
      <w:keepLines/>
      <w:widowControl w:val="0"/>
      <w:suppressLineNumbers w:val="0"/>
      <w:spacing w:before="0" w:beforeAutospacing="0" w:after="0" w:afterAutospacing="0" w:line="560" w:lineRule="exact"/>
      <w:ind w:left="0" w:right="0"/>
      <w:jc w:val="both"/>
      <w:outlineLvl w:val="1"/>
    </w:pPr>
    <w:rPr>
      <w:rFonts w:hint="default" w:ascii="Arial" w:hAnsi="Arial" w:eastAsia="黑体" w:cs="Times New Roman"/>
      <w:b/>
      <w:bCs/>
      <w:kern w:val="0"/>
      <w:sz w:val="32"/>
      <w:szCs w:val="32"/>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toc 1"/>
    <w:basedOn w:val="1"/>
    <w:next w:val="1"/>
    <w:qFormat/>
    <w:uiPriority w:val="0"/>
  </w:style>
  <w:style w:type="paragraph" w:styleId="4">
    <w:name w:val="toc 2"/>
    <w:basedOn w:val="1"/>
    <w:next w:val="1"/>
    <w:qFormat/>
    <w:uiPriority w:val="0"/>
    <w:pPr>
      <w:ind w:left="420" w:leftChars="200"/>
    </w:pPr>
  </w:style>
  <w:style w:type="paragraph" w:styleId="5">
    <w:name w:val="Title"/>
    <w:basedOn w:val="1"/>
    <w:qFormat/>
    <w:uiPriority w:val="0"/>
    <w:pPr>
      <w:spacing w:before="240" w:beforeLines="0" w:beforeAutospacing="0" w:after="60" w:afterLines="0" w:afterAutospacing="0"/>
      <w:jc w:val="center"/>
      <w:outlineLvl w:val="0"/>
    </w:pPr>
    <w:rPr>
      <w:rFonts w:ascii="Arial" w:hAnsi="Arial"/>
      <w:b/>
      <w:sz w:val="32"/>
    </w:rPr>
  </w:style>
  <w:style w:type="character" w:customStyle="1" w:styleId="8">
    <w:name w:val="标题 2 Char"/>
    <w:link w:val="2"/>
    <w:autoRedefine/>
    <w:qFormat/>
    <w:uiPriority w:val="0"/>
    <w:rPr>
      <w:rFonts w:ascii="Arial" w:hAnsi="Arial" w:eastAsia="黑体"/>
      <w:b/>
      <w:bCs/>
      <w:sz w:val="32"/>
      <w:szCs w:val="32"/>
    </w:rPr>
  </w:style>
  <w:style w:type="paragraph" w:customStyle="1" w:styleId="9">
    <w:name w:val="WPSOffice手动目录 1"/>
    <w:qFormat/>
    <w:uiPriority w:val="0"/>
    <w:pPr>
      <w:ind w:leftChars="0"/>
    </w:pPr>
    <w:rPr>
      <w:rFonts w:asciiTheme="minorHAnsi" w:hAnsiTheme="minorHAnsi" w:eastAsiaTheme="minorEastAsia" w:cstheme="minorBidi"/>
      <w:sz w:val="20"/>
      <w:szCs w:val="20"/>
    </w:rPr>
  </w:style>
  <w:style w:type="paragraph" w:customStyle="1" w:styleId="10">
    <w:name w:val="样式1"/>
    <w:basedOn w:val="5"/>
    <w:qFormat/>
    <w:uiPriority w:val="0"/>
    <w:pPr>
      <w:numPr>
        <w:ilvl w:val="0"/>
        <w:numId w:val="1"/>
      </w:numPr>
      <w:jc w:val="left"/>
    </w:pPr>
    <w:rPr>
      <w:rFonts w:asciiTheme="minorAscii" w:hAnsiTheme="minorAscii"/>
      <w:sz w:val="28"/>
    </w:rPr>
  </w:style>
  <w:style w:type="paragraph" w:customStyle="1" w:styleId="11">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1110</Words>
  <Characters>1256</Characters>
  <Lines>1</Lines>
  <Paragraphs>1</Paragraphs>
  <TotalTime>0</TotalTime>
  <ScaleCrop>false</ScaleCrop>
  <LinksUpToDate>false</LinksUpToDate>
  <CharactersWithSpaces>1286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2024-07-03T08:04:00Z</dcterms:created>
  <dc:creator>别折</dc:creator>
  <cp:lastModifiedBy>上弦月</cp:lastModifiedBy>
  <dcterms:modified xsi:type="dcterms:W3CDTF">2024-07-12T08:49:18Z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9055DBC722B24E22A2301C0AF25B1446_13</vt:lpwstr>
  </property>
</Properties>
</file>