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val="0"/>
        <w:autoSpaceDE/>
        <w:autoSpaceDN/>
        <w:spacing w:line="240" w:lineRule="exact"/>
        <w:jc w:val="center"/>
        <w:rPr>
          <w:rFonts w:ascii="宋体" w:hAnsi="宋体" w:eastAsia="方正小标宋简体" w:cs="方正小标宋简体"/>
          <w:b/>
          <w:color w:val="000000" w:themeColor="text1"/>
          <w:w w:val="38"/>
          <w14:textFill>
            <w14:solidFill>
              <w14:schemeClr w14:val="tx1"/>
            </w14:solidFill>
          </w14:textFill>
        </w:rPr>
      </w:pPr>
    </w:p>
    <w:p>
      <w:pPr>
        <w:kinsoku/>
        <w:overflowPunct w:val="0"/>
        <w:autoSpaceDE/>
        <w:autoSpaceDN/>
        <w:spacing w:line="240" w:lineRule="exact"/>
        <w:jc w:val="center"/>
        <w:rPr>
          <w:rFonts w:ascii="宋体" w:hAnsi="宋体" w:eastAsia="方正小标宋简体" w:cs="方正小标宋简体"/>
          <w:b/>
          <w:color w:val="000000" w:themeColor="text1"/>
          <w:w w:val="38"/>
          <w14:textFill>
            <w14:solidFill>
              <w14:schemeClr w14:val="tx1"/>
            </w14:solidFill>
          </w14:textFill>
        </w:rPr>
      </w:pPr>
    </w:p>
    <w:p>
      <w:pPr>
        <w:kinsoku/>
        <w:overflowPunct w:val="0"/>
        <w:autoSpaceDE/>
        <w:autoSpaceDN/>
        <w:spacing w:line="240" w:lineRule="exact"/>
        <w:jc w:val="center"/>
        <w:rPr>
          <w:rFonts w:ascii="宋体" w:hAnsi="宋体" w:eastAsia="方正小标宋简体" w:cs="方正小标宋简体"/>
          <w:b/>
          <w:color w:val="000000" w:themeColor="text1"/>
          <w:w w:val="38"/>
          <w14:textFill>
            <w14:solidFill>
              <w14:schemeClr w14:val="tx1"/>
            </w14:solidFill>
          </w14:textFill>
        </w:rPr>
      </w:pPr>
    </w:p>
    <w:p>
      <w:pPr>
        <w:kinsoku/>
        <w:overflowPunct w:val="0"/>
        <w:autoSpaceDE/>
        <w:autoSpaceDN/>
        <w:spacing w:line="240" w:lineRule="exact"/>
        <w:jc w:val="center"/>
        <w:rPr>
          <w:rFonts w:ascii="宋体" w:hAnsi="宋体" w:eastAsia="方正小标宋简体" w:cs="方正小标宋简体"/>
          <w:b/>
          <w:color w:val="000000" w:themeColor="text1"/>
          <w:w w:val="38"/>
          <w14:textFill>
            <w14:solidFill>
              <w14:schemeClr w14:val="tx1"/>
            </w14:solidFill>
          </w14:textFill>
        </w:rPr>
      </w:pPr>
    </w:p>
    <w:p>
      <w:pPr>
        <w:kinsoku/>
        <w:overflowPunct w:val="0"/>
        <w:autoSpaceDE/>
        <w:autoSpaceDN/>
        <w:spacing w:line="240" w:lineRule="exact"/>
        <w:jc w:val="center"/>
        <w:rPr>
          <w:rFonts w:ascii="宋体" w:hAnsi="宋体" w:eastAsia="方正小标宋简体" w:cs="方正小标宋简体"/>
          <w:b/>
          <w:color w:val="000000" w:themeColor="text1"/>
          <w:w w:val="38"/>
          <w14:textFill>
            <w14:solidFill>
              <w14:schemeClr w14:val="tx1"/>
            </w14:solidFill>
          </w14:textFill>
        </w:rPr>
      </w:pPr>
    </w:p>
    <w:p>
      <w:pPr>
        <w:kinsoku/>
        <w:overflowPunct w:val="0"/>
        <w:autoSpaceDE/>
        <w:autoSpaceDN/>
        <w:jc w:val="center"/>
        <w:rPr>
          <w:rFonts w:ascii="宋体" w:hAnsi="宋体" w:eastAsia="方正小标宋简体"/>
          <w:color w:val="FF0000"/>
          <w:w w:val="40"/>
          <w:sz w:val="146"/>
          <w:szCs w:val="146"/>
        </w:rPr>
      </w:pPr>
      <w:r>
        <w:rPr>
          <w:rFonts w:hint="eastAsia" w:ascii="宋体" w:hAnsi="宋体" w:eastAsia="方正小标宋简体" w:cs="方正小标宋简体"/>
          <w:color w:val="FF0000"/>
          <w:w w:val="40"/>
          <w:sz w:val="146"/>
          <w:szCs w:val="146"/>
        </w:rPr>
        <w:t>济南市钢城区城乡交通运输局文件</w:t>
      </w:r>
    </w:p>
    <w:p>
      <w:pPr>
        <w:kinsoku/>
        <w:overflowPunct w:val="0"/>
        <w:autoSpaceDE/>
        <w:autoSpaceDN/>
        <w:spacing w:line="480" w:lineRule="exact"/>
        <w:jc w:val="center"/>
        <w:rPr>
          <w:rFonts w:ascii="宋体" w:hAnsi="宋体" w:eastAsia="方正仿宋简体"/>
          <w:b/>
          <w:bCs/>
          <w:color w:val="000000" w:themeColor="text1"/>
          <w14:textFill>
            <w14:solidFill>
              <w14:schemeClr w14:val="tx1"/>
            </w14:solidFill>
          </w14:textFill>
        </w:rPr>
      </w:pPr>
    </w:p>
    <w:p>
      <w:pPr>
        <w:kinsoku/>
        <w:overflowPunct w:val="0"/>
        <w:autoSpaceDE/>
        <w:autoSpaceDN/>
        <w:spacing w:line="616"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钢城交发〔2024〕3号</w:t>
      </w:r>
    </w:p>
    <w:p>
      <w:pPr>
        <w:tabs>
          <w:tab w:val="center" w:pos="4422"/>
          <w:tab w:val="left" w:pos="4950"/>
        </w:tabs>
        <w:kinsoku/>
        <w:overflowPunct w:val="0"/>
        <w:autoSpaceDE/>
        <w:autoSpaceDN/>
        <w:spacing w:line="800" w:lineRule="exact"/>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align>center</wp:align>
                </wp:positionH>
                <wp:positionV relativeFrom="paragraph">
                  <wp:posOffset>76835</wp:posOffset>
                </wp:positionV>
                <wp:extent cx="5598160" cy="0"/>
                <wp:effectExtent l="9525" t="10160" r="12065"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top:6.05pt;height:0pt;width:440.8pt;mso-position-horizontal:center;z-index:-251655168;mso-width-relative:page;mso-height-relative:page;" filled="f" stroked="t" coordsize="21600,21600" o:gfxdata="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c8vCtQAAAAG&#10;AQAADwAAAAAAAAABACAAAAAiAAAAZHJzL2Rvd25yZXYueG1sUEsBAhQAFAAAAAgAh07iQKTXkmvn&#10;AQAAqwMAAA4AAAAAAAAAAQAgAAAAIwEAAGRycy9lMm9Eb2MueG1sUEsFBgAAAAAGAAYAWQEAAHwF&#10;AAAAAA==&#10;">
                <v:fill on="f" focussize="0,0"/>
                <v:stroke weight="1.5pt" color="#FF0000" joinstyle="round"/>
                <v:imagedata o:title=""/>
                <o:lock v:ext="edit" aspectratio="f"/>
              </v:line>
            </w:pict>
          </mc:Fallback>
        </mc:AlternateContent>
      </w:r>
    </w:p>
    <w:p>
      <w:pPr>
        <w:widowControl w:val="0"/>
        <w:kinsoku/>
        <w:overflowPunct w:val="0"/>
        <w:autoSpaceDE/>
        <w:autoSpaceDN/>
        <w:adjustRightInd/>
        <w:snapToGrid/>
        <w:spacing w:line="616" w:lineRule="exact"/>
        <w:jc w:val="center"/>
        <w:rPr>
          <w:rFonts w:ascii="宋体" w:hAnsi="宋体" w:eastAsia="方正小标宋简体" w:cs="宋体"/>
          <w:b/>
          <w:bCs/>
          <w:sz w:val="44"/>
          <w:szCs w:val="44"/>
        </w:rPr>
      </w:pPr>
      <w:r>
        <w:rPr>
          <w:rFonts w:hint="eastAsia" w:ascii="宋体" w:hAnsi="宋体" w:eastAsia="方正小标宋简体" w:cs="宋体"/>
          <w:b/>
          <w:bCs/>
          <w:sz w:val="44"/>
          <w:szCs w:val="44"/>
        </w:rPr>
        <w:t>关于印发《钢城区城乡交通运输局</w:t>
      </w:r>
    </w:p>
    <w:p>
      <w:pPr>
        <w:widowControl w:val="0"/>
        <w:kinsoku/>
        <w:overflowPunct w:val="0"/>
        <w:autoSpaceDE/>
        <w:autoSpaceDN/>
        <w:adjustRightInd/>
        <w:snapToGrid/>
        <w:spacing w:line="616" w:lineRule="exact"/>
        <w:jc w:val="center"/>
        <w:rPr>
          <w:rFonts w:ascii="宋体" w:hAnsi="宋体" w:eastAsia="方正小标宋简体" w:cs="宋体"/>
          <w:b/>
          <w:bCs/>
          <w:sz w:val="44"/>
          <w:szCs w:val="44"/>
        </w:rPr>
      </w:pPr>
      <w:r>
        <w:rPr>
          <w:rFonts w:hint="eastAsia" w:ascii="宋体" w:hAnsi="宋体" w:eastAsia="方正小标宋简体" w:cs="宋体"/>
          <w:b/>
          <w:bCs/>
          <w:sz w:val="44"/>
          <w:szCs w:val="44"/>
        </w:rPr>
        <w:t>“信用交通县（市、区）”创建工作方案》的</w:t>
      </w:r>
    </w:p>
    <w:p>
      <w:pPr>
        <w:widowControl w:val="0"/>
        <w:kinsoku/>
        <w:overflowPunct w:val="0"/>
        <w:autoSpaceDE/>
        <w:autoSpaceDN/>
        <w:adjustRightInd/>
        <w:snapToGrid/>
        <w:spacing w:line="616" w:lineRule="exact"/>
        <w:jc w:val="center"/>
        <w:rPr>
          <w:rFonts w:ascii="宋体" w:hAnsi="宋体" w:eastAsia="方正小标宋简体" w:cs="宋体"/>
          <w:b/>
          <w:sz w:val="44"/>
          <w:szCs w:val="44"/>
        </w:rPr>
      </w:pPr>
      <w:r>
        <w:rPr>
          <w:rFonts w:hint="eastAsia" w:ascii="宋体" w:hAnsi="宋体" w:eastAsia="方正小标宋简体" w:cs="宋体"/>
          <w:b/>
          <w:bCs/>
          <w:sz w:val="44"/>
          <w:szCs w:val="44"/>
        </w:rPr>
        <w:t xml:space="preserve">通 </w:t>
      </w:r>
      <w:r>
        <w:rPr>
          <w:rFonts w:ascii="宋体" w:hAnsi="宋体" w:eastAsia="方正小标宋简体" w:cs="宋体"/>
          <w:b/>
          <w:bCs/>
          <w:sz w:val="44"/>
          <w:szCs w:val="44"/>
        </w:rPr>
        <w:t xml:space="preserve"> </w:t>
      </w:r>
      <w:r>
        <w:rPr>
          <w:rFonts w:hint="eastAsia" w:ascii="宋体" w:hAnsi="宋体" w:eastAsia="方正小标宋简体" w:cs="宋体"/>
          <w:b/>
          <w:bCs/>
          <w:sz w:val="44"/>
          <w:szCs w:val="44"/>
        </w:rPr>
        <w:t>知</w:t>
      </w:r>
    </w:p>
    <w:p>
      <w:pPr>
        <w:widowControl w:val="0"/>
        <w:kinsoku/>
        <w:overflowPunct w:val="0"/>
        <w:autoSpaceDE/>
        <w:autoSpaceDN/>
        <w:adjustRightInd/>
        <w:snapToGrid/>
        <w:spacing w:line="616" w:lineRule="exact"/>
        <w:rPr>
          <w:rFonts w:ascii="宋体" w:hAnsi="宋体" w:eastAsia="仿宋_GB2312"/>
          <w:b/>
          <w:sz w:val="32"/>
          <w:szCs w:val="32"/>
        </w:rPr>
      </w:pPr>
    </w:p>
    <w:p>
      <w:pPr>
        <w:widowControl w:val="0"/>
        <w:kinsoku/>
        <w:overflowPunct w:val="0"/>
        <w:autoSpaceDE/>
        <w:autoSpaceDN/>
        <w:adjustRightInd/>
        <w:snapToGrid/>
        <w:spacing w:line="616" w:lineRule="exact"/>
        <w:ind w:left="89"/>
        <w:rPr>
          <w:rFonts w:ascii="宋体" w:hAnsi="宋体" w:eastAsia="仿宋_GB2312" w:cs="仿宋"/>
          <w:b/>
          <w:sz w:val="32"/>
          <w:szCs w:val="32"/>
        </w:rPr>
      </w:pPr>
      <w:r>
        <w:rPr>
          <w:rFonts w:hint="eastAsia" w:ascii="宋体" w:hAnsi="宋体" w:eastAsia="仿宋_GB2312" w:cs="仿宋"/>
          <w:b/>
          <w:sz w:val="32"/>
          <w:szCs w:val="32"/>
        </w:rPr>
        <w:t>各科室、局属各单位：</w:t>
      </w:r>
    </w:p>
    <w:p>
      <w:pPr>
        <w:widowControl w:val="0"/>
        <w:kinsoku/>
        <w:overflowPunct w:val="0"/>
        <w:autoSpaceDE/>
        <w:autoSpaceDN/>
        <w:adjustRightInd/>
        <w:snapToGrid/>
        <w:spacing w:line="616" w:lineRule="exact"/>
        <w:ind w:left="89" w:firstLine="639"/>
        <w:jc w:val="both"/>
        <w:rPr>
          <w:rFonts w:ascii="宋体" w:hAnsi="宋体" w:eastAsia="仿宋_GB2312" w:cs="仿宋"/>
          <w:b/>
          <w:sz w:val="32"/>
          <w:szCs w:val="32"/>
        </w:rPr>
      </w:pPr>
      <w:r>
        <w:rPr>
          <w:rFonts w:hint="eastAsia" w:ascii="宋体" w:hAnsi="宋体" w:eastAsia="仿宋_GB2312" w:cs="仿宋"/>
          <w:b/>
          <w:sz w:val="32"/>
          <w:szCs w:val="32"/>
        </w:rPr>
        <w:t>现将《钢城区城乡交通运输局“信用交通县（市、区）”创建工作方案》印发给你们，请结合工作实际，认真抓好贯彻落实。</w:t>
      </w:r>
    </w:p>
    <w:p>
      <w:pPr>
        <w:widowControl w:val="0"/>
        <w:kinsoku/>
        <w:overflowPunct w:val="0"/>
        <w:autoSpaceDE/>
        <w:autoSpaceDN/>
        <w:adjustRightInd/>
        <w:snapToGrid/>
        <w:spacing w:line="616" w:lineRule="exact"/>
        <w:rPr>
          <w:rFonts w:ascii="宋体" w:hAnsi="宋体" w:eastAsia="仿宋_GB2312"/>
          <w:b/>
          <w:sz w:val="32"/>
          <w:szCs w:val="32"/>
        </w:rPr>
      </w:pPr>
      <w:r>
        <w:rPr>
          <w:rFonts w:hint="eastAsia" w:ascii="宋体" w:hAnsi="宋体" w:eastAsia="仿宋_GB2312" w:cs="仿宋"/>
          <w:b/>
          <w:snapToGrid/>
          <w:sz w:val="32"/>
          <w:szCs w:val="32"/>
        </w:rPr>
        <w:drawing>
          <wp:anchor distT="0" distB="0" distL="114300" distR="114300" simplePos="0" relativeHeight="251659264" behindDoc="1" locked="0" layoutInCell="1" allowOverlap="1">
            <wp:simplePos x="0" y="0"/>
            <wp:positionH relativeFrom="column">
              <wp:posOffset>3226435</wp:posOffset>
            </wp:positionH>
            <wp:positionV relativeFrom="paragraph">
              <wp:posOffset>361315</wp:posOffset>
            </wp:positionV>
            <wp:extent cx="1572260" cy="1544955"/>
            <wp:effectExtent l="57785" t="40005" r="65405" b="7239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6"/>
                    <a:stretch>
                      <a:fillRect/>
                    </a:stretch>
                  </pic:blipFill>
                  <pic:spPr>
                    <a:xfrm rot="-268327">
                      <a:off x="0" y="0"/>
                      <a:ext cx="1572260" cy="1544955"/>
                    </a:xfrm>
                    <a:prstGeom prst="rect">
                      <a:avLst/>
                    </a:prstGeom>
                    <a:noFill/>
                    <a:ln>
                      <a:noFill/>
                    </a:ln>
                  </pic:spPr>
                </pic:pic>
              </a:graphicData>
            </a:graphic>
          </wp:anchor>
        </w:drawing>
      </w:r>
    </w:p>
    <w:p>
      <w:pPr>
        <w:widowControl w:val="0"/>
        <w:kinsoku/>
        <w:overflowPunct w:val="0"/>
        <w:autoSpaceDE/>
        <w:autoSpaceDN/>
        <w:adjustRightInd/>
        <w:snapToGrid/>
        <w:spacing w:line="616" w:lineRule="exact"/>
        <w:rPr>
          <w:rFonts w:ascii="宋体" w:hAnsi="宋体" w:eastAsia="仿宋_GB2312" w:cs="仿宋"/>
          <w:b/>
          <w:sz w:val="32"/>
          <w:szCs w:val="32"/>
        </w:rPr>
      </w:pPr>
    </w:p>
    <w:p>
      <w:pPr>
        <w:widowControl w:val="0"/>
        <w:kinsoku/>
        <w:wordWrap w:val="0"/>
        <w:overflowPunct w:val="0"/>
        <w:autoSpaceDE/>
        <w:autoSpaceDN/>
        <w:adjustRightInd/>
        <w:snapToGrid/>
        <w:spacing w:line="616" w:lineRule="exact"/>
        <w:jc w:val="right"/>
        <w:rPr>
          <w:rFonts w:ascii="宋体" w:hAnsi="宋体" w:eastAsia="仿宋_GB2312" w:cs="仿宋"/>
          <w:b/>
          <w:sz w:val="32"/>
          <w:szCs w:val="32"/>
        </w:rPr>
      </w:pPr>
      <w:r>
        <w:rPr>
          <w:rFonts w:hint="eastAsia" w:ascii="宋体" w:hAnsi="宋体" w:eastAsia="仿宋_GB2312" w:cs="仿宋"/>
          <w:b/>
          <w:sz w:val="32"/>
          <w:szCs w:val="32"/>
        </w:rPr>
        <w:t xml:space="preserve">济南市钢城区城乡交通运输局 </w:t>
      </w:r>
      <w:r>
        <w:rPr>
          <w:rFonts w:ascii="宋体" w:hAnsi="宋体" w:eastAsia="仿宋_GB2312" w:cs="仿宋"/>
          <w:b/>
          <w:sz w:val="32"/>
          <w:szCs w:val="32"/>
        </w:rPr>
        <w:t xml:space="preserve">   </w:t>
      </w:r>
    </w:p>
    <w:p>
      <w:pPr>
        <w:widowControl w:val="0"/>
        <w:tabs>
          <w:tab w:val="left" w:pos="8789"/>
        </w:tabs>
        <w:kinsoku/>
        <w:wordWrap w:val="0"/>
        <w:overflowPunct w:val="0"/>
        <w:autoSpaceDE/>
        <w:autoSpaceDN/>
        <w:adjustRightInd/>
        <w:snapToGrid/>
        <w:spacing w:line="616" w:lineRule="exact"/>
        <w:jc w:val="right"/>
        <w:rPr>
          <w:rFonts w:ascii="宋体" w:hAnsi="宋体" w:eastAsia="仿宋_GB2312" w:cs="仿宋"/>
          <w:b/>
          <w:sz w:val="32"/>
          <w:szCs w:val="32"/>
        </w:rPr>
      </w:pPr>
      <w:r>
        <w:rPr>
          <w:rFonts w:hint="eastAsia" w:ascii="宋体" w:hAnsi="宋体" w:eastAsia="仿宋_GB2312" w:cs="仿宋"/>
          <w:b/>
          <w:sz w:val="32"/>
          <w:szCs w:val="32"/>
        </w:rPr>
        <w:t xml:space="preserve">          2024年4月18日 </w:t>
      </w:r>
      <w:r>
        <w:rPr>
          <w:rFonts w:ascii="宋体" w:hAnsi="宋体" w:eastAsia="仿宋_GB2312" w:cs="仿宋"/>
          <w:b/>
          <w:sz w:val="32"/>
          <w:szCs w:val="32"/>
        </w:rPr>
        <w:t xml:space="preserve">        </w:t>
      </w:r>
    </w:p>
    <w:p>
      <w:pPr>
        <w:widowControl w:val="0"/>
        <w:tabs>
          <w:tab w:val="left" w:pos="8789"/>
        </w:tabs>
        <w:kinsoku/>
        <w:overflowPunct w:val="0"/>
        <w:autoSpaceDE/>
        <w:autoSpaceDN/>
        <w:adjustRightInd/>
        <w:snapToGrid/>
        <w:spacing w:line="616" w:lineRule="exact"/>
        <w:rPr>
          <w:rFonts w:ascii="宋体" w:hAnsi="宋体" w:eastAsia="仿宋_GB2312" w:cs="仿宋"/>
          <w:b/>
          <w:sz w:val="32"/>
          <w:szCs w:val="32"/>
        </w:rPr>
      </w:pPr>
    </w:p>
    <w:p>
      <w:pPr>
        <w:widowControl w:val="0"/>
        <w:tabs>
          <w:tab w:val="left" w:pos="8789"/>
        </w:tabs>
        <w:kinsoku/>
        <w:overflowPunct w:val="0"/>
        <w:autoSpaceDE/>
        <w:autoSpaceDN/>
        <w:adjustRightInd/>
        <w:snapToGrid/>
        <w:spacing w:line="616" w:lineRule="exact"/>
        <w:rPr>
          <w:rFonts w:ascii="宋体" w:hAnsi="宋体" w:eastAsia="仿宋_GB2312" w:cs="仿宋"/>
          <w:b/>
          <w:sz w:val="32"/>
          <w:szCs w:val="32"/>
        </w:rPr>
      </w:pPr>
    </w:p>
    <w:p>
      <w:pPr>
        <w:widowControl w:val="0"/>
        <w:tabs>
          <w:tab w:val="left" w:pos="8789"/>
        </w:tabs>
        <w:kinsoku/>
        <w:overflowPunct w:val="0"/>
        <w:autoSpaceDE/>
        <w:autoSpaceDN/>
        <w:adjustRightInd/>
        <w:snapToGrid/>
        <w:spacing w:line="616" w:lineRule="exact"/>
        <w:jc w:val="center"/>
        <w:rPr>
          <w:rFonts w:ascii="宋体" w:hAnsi="宋体" w:eastAsia="方正小标宋简体" w:cs="宋体"/>
          <w:b/>
          <w:bCs/>
          <w:sz w:val="44"/>
          <w:szCs w:val="44"/>
        </w:rPr>
      </w:pPr>
      <w:r>
        <w:rPr>
          <w:rFonts w:hint="eastAsia" w:ascii="宋体" w:hAnsi="宋体" w:eastAsia="方正小标宋简体" w:cs="宋体"/>
          <w:b/>
          <w:bCs/>
          <w:sz w:val="44"/>
          <w:szCs w:val="44"/>
        </w:rPr>
        <w:t>钢城区城乡交通运输局</w:t>
      </w:r>
    </w:p>
    <w:p>
      <w:pPr>
        <w:widowControl w:val="0"/>
        <w:kinsoku/>
        <w:overflowPunct w:val="0"/>
        <w:autoSpaceDE/>
        <w:autoSpaceDN/>
        <w:adjustRightInd/>
        <w:snapToGrid/>
        <w:spacing w:line="616" w:lineRule="exact"/>
        <w:jc w:val="center"/>
        <w:rPr>
          <w:rFonts w:ascii="宋体" w:hAnsi="宋体" w:eastAsia="方正小标宋简体" w:cs="宋体"/>
          <w:b/>
          <w:sz w:val="44"/>
          <w:szCs w:val="44"/>
        </w:rPr>
      </w:pPr>
      <w:r>
        <w:rPr>
          <w:rFonts w:hint="eastAsia" w:ascii="宋体" w:hAnsi="宋体" w:eastAsia="方正小标宋简体" w:cs="宋体"/>
          <w:b/>
          <w:bCs/>
          <w:sz w:val="44"/>
          <w:szCs w:val="44"/>
        </w:rPr>
        <w:t>“信用交通县（市、区）”创建工作方案</w:t>
      </w:r>
    </w:p>
    <w:p>
      <w:pPr>
        <w:widowControl w:val="0"/>
        <w:kinsoku/>
        <w:overflowPunct w:val="0"/>
        <w:autoSpaceDE/>
        <w:autoSpaceDN/>
        <w:adjustRightInd/>
        <w:snapToGrid/>
        <w:spacing w:line="616" w:lineRule="exact"/>
        <w:rPr>
          <w:rFonts w:ascii="宋体" w:hAnsi="宋体"/>
          <w:b/>
        </w:rPr>
      </w:pP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为进一步转变政府职能，深化“放管服”改革，优化营商环境，建立健全以信用为基础的交通运输市场新型监管机制，深入推进“信用交通县（市、区）”创建工作，根据《关于推进全省交通运输行业信用体系建设构建信用监管新机制的指导意见》（鲁交法[</w:t>
      </w:r>
      <w:r>
        <w:rPr>
          <w:rFonts w:ascii="宋体" w:hAnsi="宋体" w:eastAsia="仿宋_GB2312" w:cs="仿宋"/>
          <w:b/>
          <w:sz w:val="32"/>
          <w:szCs w:val="32"/>
        </w:rPr>
        <w:t>2020</w:t>
      </w:r>
      <w:r>
        <w:rPr>
          <w:rFonts w:hint="eastAsia" w:ascii="宋体" w:hAnsi="宋体" w:eastAsia="仿宋_GB2312" w:cs="仿宋"/>
          <w:b/>
          <w:sz w:val="32"/>
          <w:szCs w:val="32"/>
        </w:rPr>
        <w:t>]</w:t>
      </w:r>
      <w:r>
        <w:rPr>
          <w:rFonts w:ascii="宋体" w:hAnsi="宋体" w:eastAsia="仿宋_GB2312" w:cs="仿宋"/>
          <w:b/>
          <w:sz w:val="32"/>
          <w:szCs w:val="32"/>
        </w:rPr>
        <w:t>5</w:t>
      </w:r>
      <w:r>
        <w:rPr>
          <w:rFonts w:hint="eastAsia" w:ascii="宋体" w:hAnsi="宋体" w:eastAsia="仿宋_GB2312" w:cs="仿宋"/>
          <w:b/>
          <w:sz w:val="32"/>
          <w:szCs w:val="32"/>
        </w:rPr>
        <w:t>号）、</w:t>
      </w:r>
      <w:r>
        <w:rPr>
          <w:rFonts w:hint="eastAsia" w:ascii="宋体" w:hAnsi="宋体" w:eastAsia="仿宋_GB2312" w:cs="仿宋_GB2312"/>
          <w:b/>
          <w:sz w:val="32"/>
          <w:szCs w:val="32"/>
        </w:rPr>
        <w:t>山东省交通运输厅《关于公布全省第三批“信用交通县（市、区）”试点等工作的通知》（鲁交法函〔2024〕8号）</w:t>
      </w:r>
      <w:r>
        <w:rPr>
          <w:rFonts w:hint="eastAsia" w:ascii="宋体" w:hAnsi="宋体" w:eastAsia="仿宋_GB2312" w:cs="仿宋"/>
          <w:b/>
          <w:sz w:val="32"/>
          <w:szCs w:val="32"/>
        </w:rPr>
        <w:t>要求，结合我局实际制定本创建工作方案。</w:t>
      </w:r>
    </w:p>
    <w:p>
      <w:pPr>
        <w:widowControl w:val="0"/>
        <w:numPr>
          <w:ilvl w:val="0"/>
          <w:numId w:val="1"/>
        </w:numPr>
        <w:kinsoku/>
        <w:overflowPunct w:val="0"/>
        <w:autoSpaceDE/>
        <w:autoSpaceDN/>
        <w:adjustRightInd/>
        <w:snapToGrid/>
        <w:spacing w:line="616" w:lineRule="exact"/>
        <w:ind w:firstLine="643" w:firstLineChars="200"/>
        <w:jc w:val="both"/>
        <w:rPr>
          <w:rFonts w:ascii="宋体" w:hAnsi="宋体" w:eastAsia="黑体" w:cs="黑体"/>
          <w:b/>
          <w:bCs/>
          <w:sz w:val="32"/>
          <w:szCs w:val="32"/>
        </w:rPr>
      </w:pPr>
      <w:r>
        <w:rPr>
          <w:rFonts w:hint="eastAsia" w:ascii="宋体" w:hAnsi="宋体" w:eastAsia="黑体" w:cs="黑体"/>
          <w:b/>
          <w:bCs/>
          <w:sz w:val="32"/>
          <w:szCs w:val="32"/>
        </w:rPr>
        <w:t>总体要求</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_GB2312"/>
          <w:b/>
          <w:bCs/>
          <w:sz w:val="32"/>
          <w:szCs w:val="32"/>
        </w:rPr>
        <w:t>以习近平新时代中国特色社会主义思想为指导，全面贯彻党的二十大和二十届二中全会精神，</w:t>
      </w:r>
      <w:r>
        <w:rPr>
          <w:rFonts w:hint="eastAsia" w:ascii="宋体" w:hAnsi="宋体" w:eastAsia="仿宋_GB2312" w:cs="仿宋"/>
          <w:b/>
          <w:sz w:val="32"/>
          <w:szCs w:val="32"/>
        </w:rPr>
        <w:t>按照党中央、国务院、省委省政府关于加快推进社会信用体系建设的决策部署和省厅、市局工作要求，</w:t>
      </w:r>
      <w:r>
        <w:rPr>
          <w:rFonts w:hint="eastAsia" w:ascii="宋体" w:hAnsi="宋体" w:eastAsia="仿宋_GB2312" w:cs="仿宋_GB2312"/>
          <w:b/>
          <w:bCs/>
          <w:sz w:val="32"/>
          <w:szCs w:val="32"/>
        </w:rPr>
        <w:t>以深化信用监管、优化营商环境、强化信用惠民便企为主要着力点，以“信用交通县”建设为主要载体，聚焦信用与业务深度融合，充分释放信用在交通运输行业各领域的赋能作用，推进全市交通运输信用体系高质量发展，为加快建设交通强国山东示范区贡献力量</w:t>
      </w:r>
      <w:r>
        <w:rPr>
          <w:rFonts w:hint="eastAsia" w:ascii="宋体" w:hAnsi="宋体" w:eastAsia="黑体" w:cs="黑体"/>
          <w:b/>
          <w:bCs/>
          <w:sz w:val="32"/>
          <w:szCs w:val="32"/>
        </w:rPr>
        <w:t>。</w:t>
      </w:r>
    </w:p>
    <w:p>
      <w:pPr>
        <w:widowControl w:val="0"/>
        <w:kinsoku/>
        <w:overflowPunct w:val="0"/>
        <w:autoSpaceDE/>
        <w:autoSpaceDN/>
        <w:adjustRightInd/>
        <w:snapToGrid/>
        <w:spacing w:line="616" w:lineRule="exact"/>
        <w:ind w:firstLine="643" w:firstLineChars="200"/>
        <w:jc w:val="both"/>
        <w:rPr>
          <w:rFonts w:ascii="宋体" w:hAnsi="宋体" w:eastAsia="黑体" w:cs="黑体"/>
          <w:b/>
          <w:bCs/>
          <w:sz w:val="32"/>
          <w:szCs w:val="32"/>
        </w:rPr>
      </w:pPr>
      <w:r>
        <w:rPr>
          <w:rFonts w:hint="eastAsia" w:ascii="宋体" w:hAnsi="宋体" w:eastAsia="黑体" w:cs="黑体"/>
          <w:b/>
          <w:bCs/>
          <w:sz w:val="32"/>
          <w:szCs w:val="32"/>
        </w:rPr>
        <w:t>二、工作目标</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2024年全面完成“信用交通县（市</w:t>
      </w:r>
      <w:r>
        <w:rPr>
          <w:rFonts w:ascii="宋体" w:hAnsi="宋体" w:eastAsia="仿宋_GB2312" w:cs="仿宋"/>
          <w:b/>
          <w:sz w:val="32"/>
          <w:szCs w:val="32"/>
        </w:rPr>
        <w:t>、</w:t>
      </w:r>
      <w:r>
        <w:rPr>
          <w:rFonts w:hint="eastAsia" w:ascii="宋体" w:hAnsi="宋体" w:eastAsia="仿宋_GB2312" w:cs="仿宋"/>
          <w:b/>
          <w:sz w:val="32"/>
          <w:szCs w:val="32"/>
        </w:rPr>
        <w:t>区）”建设指标任务，形成可复制、可推广的经验做法，树立交通运输行业诚信典型，顺利通过试点验收工作。</w:t>
      </w:r>
    </w:p>
    <w:p>
      <w:pPr>
        <w:widowControl w:val="0"/>
        <w:kinsoku/>
        <w:overflowPunct w:val="0"/>
        <w:autoSpaceDE/>
        <w:autoSpaceDN/>
        <w:adjustRightInd/>
        <w:snapToGrid/>
        <w:spacing w:line="616" w:lineRule="exact"/>
        <w:ind w:firstLine="643" w:firstLineChars="200"/>
        <w:jc w:val="both"/>
        <w:rPr>
          <w:rFonts w:ascii="宋体" w:hAnsi="宋体" w:eastAsia="黑体" w:cs="黑体"/>
          <w:b/>
          <w:bCs/>
          <w:sz w:val="32"/>
          <w:szCs w:val="32"/>
        </w:rPr>
      </w:pPr>
      <w:r>
        <w:rPr>
          <w:rFonts w:hint="eastAsia" w:ascii="宋体" w:hAnsi="宋体" w:eastAsia="黑体" w:cs="黑体"/>
          <w:b/>
          <w:bCs/>
          <w:sz w:val="32"/>
          <w:szCs w:val="32"/>
        </w:rPr>
        <w:t>三、重点任务</w:t>
      </w:r>
    </w:p>
    <w:p>
      <w:pPr>
        <w:widowControl w:val="0"/>
        <w:kinsoku/>
        <w:overflowPunct w:val="0"/>
        <w:autoSpaceDE/>
        <w:autoSpaceDN/>
        <w:adjustRightInd/>
        <w:snapToGrid/>
        <w:spacing w:line="616" w:lineRule="exact"/>
        <w:ind w:firstLine="643" w:firstLineChars="200"/>
        <w:jc w:val="both"/>
        <w:rPr>
          <w:rFonts w:ascii="宋体" w:hAnsi="宋体" w:eastAsia="楷体" w:cs="楷体"/>
          <w:b/>
          <w:sz w:val="32"/>
          <w:szCs w:val="32"/>
        </w:rPr>
      </w:pPr>
      <w:r>
        <w:rPr>
          <w:rFonts w:hint="eastAsia" w:ascii="宋体" w:hAnsi="宋体" w:eastAsia="楷体" w:cs="楷体"/>
          <w:b/>
          <w:sz w:val="32"/>
          <w:szCs w:val="32"/>
        </w:rPr>
        <w:t>（一）定期组织研究工作推进和开展信用专题学习</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1.深入学习贯彻习近平总书记关于社会信用体系建设的指示批示，仔细研究省委省政府、省发展改革委、省交通运输厅、市局等本年度发布的有关信用文件，确保对各项要求有准确理解。</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2.制定年度信用工作要点，明确具体目标和任务。定期开展督促检查，及时了解掌握信用工作进展和成效，确保各项任务扎实落地。</w:t>
      </w:r>
    </w:p>
    <w:p>
      <w:pPr>
        <w:widowControl w:val="0"/>
        <w:kinsoku/>
        <w:overflowPunct w:val="0"/>
        <w:autoSpaceDE/>
        <w:autoSpaceDN/>
        <w:adjustRightInd/>
        <w:snapToGrid/>
        <w:spacing w:line="616" w:lineRule="exact"/>
        <w:ind w:firstLine="643" w:firstLineChars="200"/>
        <w:jc w:val="both"/>
        <w:rPr>
          <w:rFonts w:ascii="宋体" w:hAnsi="宋体" w:eastAsia="楷体" w:cs="楷体"/>
          <w:b/>
          <w:sz w:val="32"/>
          <w:szCs w:val="32"/>
        </w:rPr>
      </w:pPr>
      <w:r>
        <w:rPr>
          <w:rFonts w:hint="eastAsia" w:ascii="宋体" w:hAnsi="宋体" w:eastAsia="楷体" w:cs="楷体"/>
          <w:b/>
          <w:sz w:val="32"/>
          <w:szCs w:val="32"/>
        </w:rPr>
        <w:t>（二）与多部门形成定期联络机制</w:t>
      </w:r>
    </w:p>
    <w:p>
      <w:pPr>
        <w:widowControl w:val="0"/>
        <w:kinsoku/>
        <w:overflowPunct w:val="0"/>
        <w:autoSpaceDE/>
        <w:autoSpaceDN/>
        <w:adjustRightInd/>
        <w:snapToGrid/>
        <w:spacing w:line="616" w:lineRule="exact"/>
        <w:ind w:firstLine="643" w:firstLineChars="200"/>
        <w:jc w:val="both"/>
        <w:rPr>
          <w:rFonts w:ascii="宋体" w:hAnsi="宋体" w:eastAsia="楷体_GB2312" w:cs="楷体"/>
          <w:b/>
          <w:sz w:val="32"/>
          <w:szCs w:val="32"/>
        </w:rPr>
      </w:pPr>
      <w:r>
        <w:rPr>
          <w:rFonts w:hint="eastAsia" w:ascii="宋体" w:hAnsi="宋体" w:eastAsia="仿宋" w:cs="仿宋"/>
          <w:b/>
          <w:color w:val="262626"/>
          <w:sz w:val="32"/>
          <w:szCs w:val="32"/>
          <w:shd w:val="clear" w:color="auto" w:fill="FFFFFF"/>
        </w:rPr>
        <w:t>与市交通运输局形成定期沟通联络机制，</w:t>
      </w:r>
      <w:r>
        <w:rPr>
          <w:rFonts w:ascii="宋体" w:hAnsi="宋体" w:eastAsia="仿宋" w:cs="仿宋"/>
          <w:b/>
          <w:color w:val="262626"/>
          <w:sz w:val="32"/>
          <w:szCs w:val="32"/>
          <w:shd w:val="clear" w:color="auto" w:fill="FFFFFF"/>
        </w:rPr>
        <w:t>在市</w:t>
      </w:r>
      <w:r>
        <w:rPr>
          <w:rFonts w:hint="eastAsia" w:ascii="宋体" w:hAnsi="宋体" w:eastAsia="仿宋" w:cs="仿宋"/>
          <w:b/>
          <w:color w:val="262626"/>
          <w:sz w:val="32"/>
          <w:szCs w:val="32"/>
          <w:shd w:val="clear" w:color="auto" w:fill="FFFFFF"/>
        </w:rPr>
        <w:t>信用工作专班</w:t>
      </w:r>
      <w:r>
        <w:rPr>
          <w:rFonts w:ascii="宋体" w:hAnsi="宋体" w:eastAsia="仿宋" w:cs="仿宋"/>
          <w:b/>
          <w:color w:val="262626"/>
          <w:sz w:val="32"/>
          <w:szCs w:val="32"/>
          <w:shd w:val="clear" w:color="auto" w:fill="FFFFFF"/>
        </w:rPr>
        <w:t>业务指导下，加强协调联动</w:t>
      </w:r>
      <w:r>
        <w:rPr>
          <w:rFonts w:hint="eastAsia" w:ascii="宋体" w:hAnsi="宋体" w:eastAsia="仿宋" w:cs="仿宋"/>
          <w:b/>
          <w:color w:val="262626"/>
          <w:sz w:val="32"/>
          <w:szCs w:val="32"/>
          <w:shd w:val="clear" w:color="auto" w:fill="FFFFFF"/>
        </w:rPr>
        <w:t>；与社会信用体系建设牵头部门、行政审批部门、宣传部门形成长期的沟通对接协调机制；</w:t>
      </w:r>
      <w:r>
        <w:rPr>
          <w:rFonts w:ascii="宋体" w:hAnsi="宋体" w:eastAsia="仿宋" w:cs="仿宋"/>
          <w:b/>
          <w:color w:val="262626"/>
          <w:sz w:val="32"/>
          <w:szCs w:val="32"/>
          <w:shd w:val="clear" w:color="auto" w:fill="FFFFFF"/>
        </w:rPr>
        <w:t>有效促进交通运输行业各层级、</w:t>
      </w:r>
      <w:r>
        <w:rPr>
          <w:rFonts w:hint="eastAsia" w:ascii="宋体" w:hAnsi="宋体" w:eastAsia="仿宋" w:cs="仿宋"/>
          <w:b/>
          <w:color w:val="262626"/>
          <w:sz w:val="32"/>
          <w:szCs w:val="32"/>
          <w:shd w:val="clear" w:color="auto" w:fill="FFFFFF"/>
        </w:rPr>
        <w:t>局属各科室</w:t>
      </w:r>
      <w:r>
        <w:rPr>
          <w:rFonts w:ascii="宋体" w:hAnsi="宋体" w:eastAsia="仿宋" w:cs="仿宋"/>
          <w:b/>
          <w:color w:val="262626"/>
          <w:sz w:val="32"/>
          <w:szCs w:val="32"/>
          <w:shd w:val="clear" w:color="auto" w:fill="FFFFFF"/>
        </w:rPr>
        <w:t>的协调配合和业务联动</w:t>
      </w:r>
      <w:r>
        <w:rPr>
          <w:rFonts w:hint="eastAsia" w:ascii="宋体" w:hAnsi="宋体" w:eastAsia="仿宋" w:cs="仿宋"/>
          <w:b/>
          <w:color w:val="262626"/>
          <w:sz w:val="32"/>
          <w:szCs w:val="32"/>
          <w:shd w:val="clear" w:color="auto" w:fill="FFFFFF"/>
        </w:rPr>
        <w:t>，确保各项创建任务扎实落地</w:t>
      </w:r>
      <w:r>
        <w:rPr>
          <w:rFonts w:ascii="宋体" w:hAnsi="宋体" w:eastAsia="仿宋" w:cs="仿宋"/>
          <w:b/>
          <w:color w:val="262626"/>
          <w:sz w:val="32"/>
          <w:szCs w:val="32"/>
          <w:shd w:val="clear" w:color="auto" w:fill="FFFFFF"/>
        </w:rPr>
        <w:t>。</w:t>
      </w:r>
    </w:p>
    <w:p>
      <w:pPr>
        <w:widowControl w:val="0"/>
        <w:kinsoku/>
        <w:overflowPunct w:val="0"/>
        <w:autoSpaceDE/>
        <w:autoSpaceDN/>
        <w:adjustRightInd/>
        <w:snapToGrid/>
        <w:spacing w:line="616" w:lineRule="exact"/>
        <w:ind w:firstLine="643" w:firstLineChars="200"/>
        <w:jc w:val="both"/>
        <w:rPr>
          <w:rFonts w:ascii="宋体" w:hAnsi="宋体" w:eastAsia="楷体" w:cs="楷体"/>
          <w:b/>
          <w:sz w:val="32"/>
          <w:szCs w:val="32"/>
        </w:rPr>
      </w:pPr>
      <w:r>
        <w:rPr>
          <w:rFonts w:hint="eastAsia" w:ascii="宋体" w:hAnsi="宋体" w:eastAsia="楷体" w:cs="楷体"/>
          <w:b/>
          <w:sz w:val="32"/>
          <w:szCs w:val="32"/>
        </w:rPr>
        <w:t>（三）加强信用信息归集共享</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依托省厅官方网站“信用交通·山东”，按时报送信用工作信息，加强信用数据归集共享。及时在“信用交通·山东”网站发布汽车维修、驾驶员培训、出租车</w:t>
      </w:r>
      <w:r>
        <w:rPr>
          <w:rFonts w:ascii="宋体" w:hAnsi="宋体" w:eastAsia="仿宋_GB2312" w:cs="仿宋"/>
          <w:b/>
          <w:sz w:val="32"/>
          <w:szCs w:val="32"/>
        </w:rPr>
        <w:t>、城市公交</w:t>
      </w:r>
      <w:r>
        <w:rPr>
          <w:rFonts w:hint="eastAsia" w:ascii="宋体" w:hAnsi="宋体" w:eastAsia="仿宋_GB2312" w:cs="仿宋"/>
          <w:b/>
          <w:sz w:val="32"/>
          <w:szCs w:val="32"/>
        </w:rPr>
        <w:t>等领域的信用数据。按时在市级信用信息平台、区政府网站公示行政许可、行政处罚信息，确保“双公示”信息公开及时、完整、合规。</w:t>
      </w:r>
    </w:p>
    <w:p>
      <w:pPr>
        <w:widowControl w:val="0"/>
        <w:kinsoku/>
        <w:overflowPunct w:val="0"/>
        <w:autoSpaceDE/>
        <w:autoSpaceDN/>
        <w:adjustRightInd/>
        <w:snapToGrid/>
        <w:spacing w:line="616" w:lineRule="exact"/>
        <w:ind w:firstLine="643" w:firstLineChars="200"/>
        <w:jc w:val="both"/>
        <w:rPr>
          <w:rFonts w:ascii="宋体" w:hAnsi="宋体" w:eastAsia="楷体" w:cs="楷体"/>
          <w:b/>
          <w:sz w:val="32"/>
          <w:szCs w:val="32"/>
        </w:rPr>
      </w:pPr>
      <w:r>
        <w:rPr>
          <w:rFonts w:hint="eastAsia" w:ascii="宋体" w:hAnsi="宋体" w:eastAsia="楷体" w:cs="楷体"/>
          <w:b/>
          <w:sz w:val="32"/>
          <w:szCs w:val="32"/>
        </w:rPr>
        <w:t>（四）加强事前信用承诺</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结合交通运输行业实际，全面推广信用承诺制；依法依规制定、应用格式规范的信用承诺书，并向社会公开；积极开展信用承诺宣传，为市场主体办理许可、备案等相关业务时开展标准化、规范化、便捷化法律知识和信用知识教育；加强与行业协会联合，以信用承诺制加强行业自律。</w:t>
      </w:r>
    </w:p>
    <w:p>
      <w:pPr>
        <w:widowControl w:val="0"/>
        <w:kinsoku/>
        <w:overflowPunct w:val="0"/>
        <w:autoSpaceDE/>
        <w:autoSpaceDN/>
        <w:adjustRightInd/>
        <w:snapToGrid/>
        <w:spacing w:line="616" w:lineRule="exact"/>
        <w:ind w:firstLine="643" w:firstLineChars="200"/>
        <w:jc w:val="both"/>
        <w:rPr>
          <w:rFonts w:ascii="宋体" w:hAnsi="宋体" w:eastAsia="楷体" w:cs="楷体"/>
          <w:b/>
          <w:sz w:val="32"/>
          <w:szCs w:val="32"/>
        </w:rPr>
      </w:pPr>
      <w:r>
        <w:rPr>
          <w:rFonts w:hint="eastAsia" w:ascii="宋体" w:hAnsi="宋体" w:eastAsia="楷体" w:cs="楷体"/>
          <w:b/>
          <w:sz w:val="32"/>
          <w:szCs w:val="32"/>
        </w:rPr>
        <w:t>（五）加强事中信用评价</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通过“双随机、一公开”</w:t>
      </w:r>
      <w:bookmarkStart w:id="0" w:name="_GoBack"/>
      <w:bookmarkEnd w:id="0"/>
      <w:r>
        <w:rPr>
          <w:rFonts w:hint="eastAsia" w:ascii="宋体" w:hAnsi="宋体" w:eastAsia="仿宋_GB2312" w:cs="仿宋"/>
          <w:b/>
          <w:sz w:val="32"/>
          <w:szCs w:val="32"/>
        </w:rPr>
        <w:t>“互联网+监管”等系统平台的运行工作，扎实推进企业信用管理和行业监管评价体系建设。督促管辖范围内生产经营单位按照要求组织做好安全生产信用平台注册、信息填报等工作，对日常安全监管工作中发现的问题隐患及时录入或推送至安全生产信用管理信息化系统，严格实施交通运输安全生产信用奖惩措施。同时积极拓展安全生产信用评价和质量信誉考核工作覆盖的领域。</w:t>
      </w:r>
    </w:p>
    <w:p>
      <w:pPr>
        <w:widowControl w:val="0"/>
        <w:kinsoku/>
        <w:overflowPunct w:val="0"/>
        <w:autoSpaceDE/>
        <w:autoSpaceDN/>
        <w:adjustRightInd/>
        <w:snapToGrid/>
        <w:spacing w:line="616" w:lineRule="exact"/>
        <w:ind w:firstLine="643" w:firstLineChars="200"/>
        <w:jc w:val="both"/>
        <w:rPr>
          <w:rFonts w:ascii="宋体" w:hAnsi="宋体" w:eastAsia="楷体" w:cs="楷体"/>
          <w:b/>
          <w:sz w:val="32"/>
          <w:szCs w:val="32"/>
        </w:rPr>
      </w:pPr>
      <w:r>
        <w:rPr>
          <w:rFonts w:hint="eastAsia" w:ascii="宋体" w:hAnsi="宋体" w:eastAsia="楷体" w:cs="楷体"/>
          <w:b/>
          <w:sz w:val="32"/>
          <w:szCs w:val="32"/>
        </w:rPr>
        <w:t>（六）加强事后信用奖惩</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1.依法依规建立健全守信联合激励和失信联合惩戒对象名单制度，及时将认定的守信联合激励和失信联合惩戒对象名单推送至“信用交通·山东”网站并向社会公示。</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2.推动信用评价</w:t>
      </w:r>
      <w:r>
        <w:rPr>
          <w:rFonts w:ascii="宋体" w:hAnsi="宋体" w:eastAsia="仿宋_GB2312" w:cs="仿宋"/>
          <w:b/>
          <w:sz w:val="32"/>
          <w:szCs w:val="32"/>
        </w:rPr>
        <w:t>结果应用，</w:t>
      </w:r>
      <w:r>
        <w:rPr>
          <w:rFonts w:hint="eastAsia" w:ascii="宋体" w:hAnsi="宋体" w:eastAsia="仿宋_GB2312" w:cs="仿宋"/>
          <w:b/>
          <w:sz w:val="32"/>
          <w:szCs w:val="32"/>
        </w:rPr>
        <w:t>根据信用评价结果</w:t>
      </w:r>
      <w:r>
        <w:rPr>
          <w:rFonts w:ascii="宋体" w:hAnsi="宋体" w:eastAsia="仿宋_GB2312" w:cs="仿宋"/>
          <w:b/>
          <w:sz w:val="32"/>
          <w:szCs w:val="32"/>
        </w:rPr>
        <w:t>，结合“</w:t>
      </w:r>
      <w:r>
        <w:rPr>
          <w:rFonts w:hint="eastAsia" w:ascii="宋体" w:hAnsi="宋体" w:eastAsia="仿宋_GB2312" w:cs="仿宋"/>
          <w:b/>
          <w:sz w:val="32"/>
          <w:szCs w:val="32"/>
        </w:rPr>
        <w:t>双随机</w:t>
      </w:r>
      <w:r>
        <w:rPr>
          <w:rFonts w:ascii="宋体" w:hAnsi="宋体" w:eastAsia="仿宋_GB2312" w:cs="仿宋"/>
          <w:b/>
          <w:sz w:val="32"/>
          <w:szCs w:val="32"/>
        </w:rPr>
        <w:t>、一公开”</w:t>
      </w:r>
      <w:r>
        <w:rPr>
          <w:rFonts w:hint="eastAsia" w:ascii="宋体" w:hAnsi="宋体" w:eastAsia="仿宋_GB2312" w:cs="仿宋"/>
          <w:b/>
          <w:sz w:val="32"/>
          <w:szCs w:val="32"/>
        </w:rPr>
        <w:t>，</w:t>
      </w:r>
      <w:r>
        <w:rPr>
          <w:rFonts w:ascii="宋体" w:hAnsi="宋体" w:eastAsia="仿宋_GB2312" w:cs="仿宋"/>
          <w:b/>
          <w:sz w:val="32"/>
          <w:szCs w:val="32"/>
        </w:rPr>
        <w:t>实施分级分类监管。</w:t>
      </w:r>
      <w:r>
        <w:rPr>
          <w:rFonts w:hint="eastAsia" w:ascii="宋体" w:hAnsi="宋体" w:eastAsia="仿宋_GB2312" w:cs="仿宋"/>
          <w:b/>
          <w:sz w:val="32"/>
          <w:szCs w:val="32"/>
        </w:rPr>
        <w:t>在行政许可、政府采购、招标投标等行政管理事项中应充分使用信用评价结果、信用报告等。</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3.完善信用修复和异议处理机制。进一步完善信用修复渠道和流程，按程序及时妥善做好异议处理和信用修复，鼓励、引导失信主体通过作出信用承诺、完成信用整改等方式进行修复，依法依规重塑失信者的信用。</w:t>
      </w:r>
    </w:p>
    <w:p>
      <w:pPr>
        <w:widowControl w:val="0"/>
        <w:kinsoku/>
        <w:overflowPunct w:val="0"/>
        <w:autoSpaceDE/>
        <w:autoSpaceDN/>
        <w:adjustRightInd/>
        <w:snapToGrid/>
        <w:spacing w:line="616" w:lineRule="exact"/>
        <w:ind w:firstLine="643" w:firstLineChars="200"/>
        <w:jc w:val="both"/>
        <w:rPr>
          <w:rFonts w:ascii="宋体" w:hAnsi="宋体" w:eastAsia="楷体_GB2312" w:cs="楷体"/>
          <w:b/>
          <w:sz w:val="32"/>
          <w:szCs w:val="32"/>
        </w:rPr>
      </w:pPr>
      <w:r>
        <w:rPr>
          <w:rFonts w:hint="eastAsia" w:ascii="宋体" w:hAnsi="宋体" w:eastAsia="楷体_GB2312" w:cs="楷体"/>
          <w:b/>
          <w:sz w:val="32"/>
          <w:szCs w:val="32"/>
        </w:rPr>
        <w:t>（七）加强诚信文化建设</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1.加大诚信宣传力度。开展“诚信万里行”“信用交通宣传月”“诚信兴商宣传月”等宣传活动，营造“知信、重信、用信”的良好社会氛围。</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2.</w:t>
      </w:r>
      <w:r>
        <w:rPr>
          <w:rFonts w:ascii="宋体" w:hAnsi="宋体" w:eastAsia="仿宋_GB2312" w:cs="仿宋"/>
          <w:b/>
          <w:sz w:val="32"/>
          <w:szCs w:val="32"/>
        </w:rPr>
        <w:t>组织信用培训班。组织交通运输行业管理部门、企业和从业人员开展信用专题培训，参加</w:t>
      </w:r>
      <w:r>
        <w:rPr>
          <w:rFonts w:hint="eastAsia" w:ascii="宋体" w:hAnsi="宋体" w:eastAsia="仿宋_GB2312" w:cs="仿宋"/>
          <w:b/>
          <w:sz w:val="32"/>
          <w:szCs w:val="32"/>
        </w:rPr>
        <w:t>公益</w:t>
      </w:r>
      <w:r>
        <w:rPr>
          <w:rFonts w:ascii="宋体" w:hAnsi="宋体" w:eastAsia="仿宋_GB2312" w:cs="仿宋"/>
          <w:b/>
          <w:sz w:val="32"/>
          <w:szCs w:val="32"/>
        </w:rPr>
        <w:t>信用知识培训</w:t>
      </w:r>
      <w:r>
        <w:rPr>
          <w:rFonts w:hint="eastAsia" w:ascii="宋体" w:hAnsi="宋体" w:eastAsia="仿宋_GB2312" w:cs="仿宋"/>
          <w:b/>
          <w:sz w:val="32"/>
          <w:szCs w:val="32"/>
        </w:rPr>
        <w:t>。</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3.开展行业诚信典范培树活动，推介行业重大诚信典型，搜集行业诚信典型案例。</w:t>
      </w:r>
    </w:p>
    <w:p>
      <w:pPr>
        <w:widowControl w:val="0"/>
        <w:kinsoku/>
        <w:overflowPunct w:val="0"/>
        <w:autoSpaceDE/>
        <w:autoSpaceDN/>
        <w:adjustRightInd/>
        <w:snapToGrid/>
        <w:spacing w:line="616" w:lineRule="exact"/>
        <w:ind w:firstLine="643" w:firstLineChars="200"/>
        <w:jc w:val="both"/>
        <w:rPr>
          <w:rFonts w:ascii="宋体" w:hAnsi="宋体" w:eastAsia="楷体" w:cs="楷体"/>
          <w:b/>
          <w:sz w:val="32"/>
          <w:szCs w:val="32"/>
        </w:rPr>
      </w:pPr>
      <w:r>
        <w:rPr>
          <w:rFonts w:hint="eastAsia" w:ascii="宋体" w:hAnsi="宋体" w:eastAsia="楷体" w:cs="楷体"/>
          <w:b/>
          <w:sz w:val="32"/>
          <w:szCs w:val="32"/>
        </w:rPr>
        <w:t>（八）推进“信易+”应用</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结合我区实际情况，在机动车维修和驾驶员培训等领域推进“信易行”“信易贷”等创新应用，逐步达到“守信用、易通行”的目标，形成钢城特色“信易+”品牌。</w:t>
      </w:r>
    </w:p>
    <w:p>
      <w:pPr>
        <w:widowControl w:val="0"/>
        <w:tabs>
          <w:tab w:val="left" w:pos="312"/>
        </w:tabs>
        <w:kinsoku/>
        <w:overflowPunct w:val="0"/>
        <w:autoSpaceDE/>
        <w:autoSpaceDN/>
        <w:adjustRightInd/>
        <w:snapToGrid/>
        <w:spacing w:line="616" w:lineRule="exact"/>
        <w:ind w:firstLine="643" w:firstLineChars="200"/>
        <w:jc w:val="both"/>
        <w:rPr>
          <w:rFonts w:ascii="宋体" w:hAnsi="宋体" w:eastAsia="楷体" w:cs="楷体"/>
          <w:b/>
          <w:sz w:val="32"/>
          <w:szCs w:val="32"/>
        </w:rPr>
      </w:pPr>
      <w:r>
        <w:rPr>
          <w:rFonts w:hint="eastAsia" w:ascii="宋体" w:hAnsi="宋体" w:eastAsia="楷体" w:cs="楷体"/>
          <w:b/>
          <w:sz w:val="32"/>
          <w:szCs w:val="32"/>
        </w:rPr>
        <w:t>（九）开展信用专项工作</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仿宋_GB2312" w:cs="仿宋"/>
          <w:b/>
          <w:sz w:val="32"/>
          <w:szCs w:val="32"/>
        </w:rPr>
        <w:t>在交通运输安全生产、超限超载等方面开展诚信缺失专项治理，曝光失信案例，推动形成一批典型经验做法。</w:t>
      </w:r>
    </w:p>
    <w:p>
      <w:pPr>
        <w:widowControl w:val="0"/>
        <w:kinsoku/>
        <w:overflowPunct w:val="0"/>
        <w:autoSpaceDE/>
        <w:autoSpaceDN/>
        <w:adjustRightInd/>
        <w:snapToGrid/>
        <w:spacing w:line="616" w:lineRule="exact"/>
        <w:ind w:firstLine="643" w:firstLineChars="200"/>
        <w:jc w:val="both"/>
        <w:rPr>
          <w:rFonts w:ascii="宋体" w:hAnsi="宋体" w:eastAsia="黑体" w:cs="黑体"/>
          <w:b/>
          <w:bCs/>
          <w:sz w:val="32"/>
          <w:szCs w:val="32"/>
        </w:rPr>
      </w:pPr>
      <w:r>
        <w:rPr>
          <w:rFonts w:hint="eastAsia" w:ascii="宋体" w:hAnsi="宋体" w:eastAsia="黑体" w:cs="黑体"/>
          <w:b/>
          <w:bCs/>
          <w:sz w:val="32"/>
          <w:szCs w:val="32"/>
        </w:rPr>
        <w:t>四、工作要求</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sz w:val="32"/>
          <w:szCs w:val="32"/>
        </w:rPr>
      </w:pPr>
      <w:r>
        <w:rPr>
          <w:rFonts w:hint="eastAsia" w:ascii="宋体" w:hAnsi="宋体" w:eastAsia="楷体_GB2312" w:cs="楷体"/>
          <w:b/>
          <w:sz w:val="32"/>
          <w:szCs w:val="32"/>
        </w:rPr>
        <w:t>（一）加强组织领导。</w:t>
      </w:r>
      <w:r>
        <w:rPr>
          <w:rFonts w:hint="eastAsia" w:ascii="宋体" w:hAnsi="宋体" w:eastAsia="仿宋_GB2312" w:cs="仿宋"/>
          <w:b/>
          <w:sz w:val="32"/>
          <w:szCs w:val="32"/>
        </w:rPr>
        <w:t>成立以局主要领导为组长，分管领导为副组长，机关各科室和局属各单位主要负责人为成员的局“信用交通县（市、区）”推进工作领导小组，统筹推进“信用交通县</w:t>
      </w:r>
      <w:r>
        <w:rPr>
          <w:rFonts w:ascii="宋体" w:hAnsi="宋体" w:eastAsia="仿宋_GB2312" w:cs="仿宋"/>
          <w:b/>
          <w:sz w:val="32"/>
          <w:szCs w:val="32"/>
        </w:rPr>
        <w:t>（</w:t>
      </w:r>
      <w:r>
        <w:rPr>
          <w:rFonts w:hint="eastAsia" w:ascii="宋体" w:hAnsi="宋体" w:eastAsia="仿宋_GB2312" w:cs="仿宋"/>
          <w:b/>
          <w:sz w:val="32"/>
          <w:szCs w:val="32"/>
        </w:rPr>
        <w:t>市、区</w:t>
      </w:r>
      <w:r>
        <w:rPr>
          <w:rFonts w:ascii="宋体" w:hAnsi="宋体" w:eastAsia="仿宋_GB2312" w:cs="仿宋"/>
          <w:b/>
          <w:sz w:val="32"/>
          <w:szCs w:val="32"/>
        </w:rPr>
        <w:t>）</w:t>
      </w:r>
      <w:r>
        <w:rPr>
          <w:rFonts w:hint="eastAsia" w:ascii="宋体" w:hAnsi="宋体" w:eastAsia="仿宋_GB2312" w:cs="仿宋"/>
          <w:b/>
          <w:sz w:val="32"/>
          <w:szCs w:val="32"/>
        </w:rPr>
        <w:t>”创建工作，重点研究解决创建工作过程中的重点、难点、堵点问题。</w:t>
      </w:r>
      <w:r>
        <w:rPr>
          <w:rFonts w:hint="eastAsia" w:ascii="宋体" w:hAnsi="宋体" w:eastAsia="仿宋_GB2312" w:cs="仿宋"/>
          <w:b/>
          <w:color w:val="auto"/>
          <w:sz w:val="32"/>
          <w:szCs w:val="32"/>
        </w:rPr>
        <w:t>领导小组下设办公室，尚青华</w:t>
      </w:r>
      <w:r>
        <w:rPr>
          <w:rFonts w:ascii="宋体" w:hAnsi="宋体" w:eastAsia="仿宋_GB2312" w:cs="仿宋"/>
          <w:b/>
          <w:color w:val="auto"/>
          <w:sz w:val="32"/>
          <w:szCs w:val="32"/>
        </w:rPr>
        <w:t>同志兼任</w:t>
      </w:r>
      <w:r>
        <w:rPr>
          <w:rFonts w:hint="eastAsia" w:ascii="宋体" w:hAnsi="宋体" w:eastAsia="仿宋_GB2312" w:cs="仿宋"/>
          <w:b/>
          <w:color w:val="auto"/>
          <w:sz w:val="32"/>
          <w:szCs w:val="32"/>
        </w:rPr>
        <w:t>办公室主任</w:t>
      </w:r>
      <w:r>
        <w:rPr>
          <w:rFonts w:ascii="宋体" w:hAnsi="宋体" w:eastAsia="仿宋_GB2312" w:cs="仿宋"/>
          <w:b/>
          <w:color w:val="auto"/>
          <w:sz w:val="32"/>
          <w:szCs w:val="32"/>
        </w:rPr>
        <w:t>，有关科室、单位负责</w:t>
      </w:r>
      <w:r>
        <w:rPr>
          <w:rFonts w:hint="eastAsia" w:ascii="宋体" w:hAnsi="宋体" w:eastAsia="仿宋_GB2312" w:cs="仿宋"/>
          <w:b/>
          <w:color w:val="auto"/>
          <w:sz w:val="32"/>
          <w:szCs w:val="32"/>
        </w:rPr>
        <w:t>同志</w:t>
      </w:r>
      <w:r>
        <w:rPr>
          <w:rFonts w:ascii="宋体" w:hAnsi="宋体" w:eastAsia="仿宋_GB2312" w:cs="仿宋"/>
          <w:b/>
          <w:color w:val="auto"/>
          <w:sz w:val="32"/>
          <w:szCs w:val="32"/>
        </w:rPr>
        <w:t>为成员，办公室日常工作由局</w:t>
      </w:r>
      <w:r>
        <w:rPr>
          <w:rFonts w:hint="eastAsia" w:ascii="宋体" w:hAnsi="宋体" w:eastAsia="仿宋_GB2312" w:cs="仿宋"/>
          <w:b/>
          <w:color w:val="auto"/>
          <w:sz w:val="32"/>
          <w:szCs w:val="32"/>
        </w:rPr>
        <w:t>法规</w:t>
      </w:r>
      <w:r>
        <w:rPr>
          <w:rFonts w:ascii="宋体" w:hAnsi="宋体" w:eastAsia="仿宋_GB2312" w:cs="仿宋"/>
          <w:b/>
          <w:color w:val="auto"/>
          <w:sz w:val="32"/>
          <w:szCs w:val="32"/>
        </w:rPr>
        <w:t>科</w:t>
      </w:r>
      <w:r>
        <w:rPr>
          <w:rFonts w:hint="eastAsia" w:ascii="宋体" w:hAnsi="宋体" w:eastAsia="仿宋_GB2312" w:cs="仿宋"/>
          <w:b/>
          <w:color w:val="auto"/>
          <w:sz w:val="32"/>
          <w:szCs w:val="32"/>
        </w:rPr>
        <w:t>承担。各单位</w:t>
      </w:r>
      <w:r>
        <w:rPr>
          <w:rFonts w:ascii="宋体" w:hAnsi="宋体" w:eastAsia="仿宋_GB2312" w:cs="仿宋"/>
          <w:b/>
          <w:color w:val="auto"/>
          <w:sz w:val="32"/>
          <w:szCs w:val="32"/>
        </w:rPr>
        <w:t>要</w:t>
      </w:r>
      <w:r>
        <w:rPr>
          <w:rFonts w:hint="eastAsia" w:ascii="宋体" w:hAnsi="宋体" w:eastAsia="仿宋_GB2312" w:cs="仿宋"/>
          <w:b/>
          <w:sz w:val="32"/>
          <w:szCs w:val="32"/>
        </w:rPr>
        <w:t>高度重视本次创建工作，将其摆在突出位置</w:t>
      </w:r>
      <w:r>
        <w:rPr>
          <w:rFonts w:ascii="宋体" w:hAnsi="宋体" w:eastAsia="仿宋_GB2312" w:cs="仿宋"/>
          <w:b/>
          <w:sz w:val="32"/>
          <w:szCs w:val="32"/>
        </w:rPr>
        <w:t>，按照各自职能职责细化责任分工，制定落实方案，有力</w:t>
      </w:r>
      <w:r>
        <w:rPr>
          <w:rFonts w:hint="eastAsia" w:ascii="宋体" w:hAnsi="宋体" w:eastAsia="仿宋_GB2312" w:cs="仿宋"/>
          <w:b/>
          <w:sz w:val="32"/>
          <w:szCs w:val="32"/>
        </w:rPr>
        <w:t>有效</w:t>
      </w:r>
      <w:r>
        <w:rPr>
          <w:rFonts w:ascii="宋体" w:hAnsi="宋体" w:eastAsia="仿宋_GB2312" w:cs="仿宋"/>
          <w:b/>
          <w:sz w:val="32"/>
          <w:szCs w:val="32"/>
        </w:rPr>
        <w:t>抓好落实工作</w:t>
      </w:r>
      <w:r>
        <w:rPr>
          <w:rFonts w:hint="eastAsia" w:ascii="宋体" w:hAnsi="宋体" w:eastAsia="仿宋_GB2312" w:cs="仿宋"/>
          <w:b/>
          <w:sz w:val="32"/>
          <w:szCs w:val="32"/>
        </w:rPr>
        <w:t>。</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color w:val="auto"/>
          <w:sz w:val="32"/>
          <w:szCs w:val="32"/>
        </w:rPr>
      </w:pPr>
      <w:r>
        <w:rPr>
          <w:rFonts w:hint="eastAsia" w:ascii="宋体" w:hAnsi="宋体" w:eastAsia="楷体_GB2312" w:cs="楷体"/>
          <w:b/>
          <w:sz w:val="32"/>
          <w:szCs w:val="32"/>
        </w:rPr>
        <w:t>（二）强化督查考核。</w:t>
      </w:r>
      <w:r>
        <w:rPr>
          <w:rFonts w:hint="eastAsia" w:ascii="宋体" w:hAnsi="宋体" w:eastAsia="仿宋_GB2312" w:cs="仿宋"/>
          <w:b/>
          <w:color w:val="auto"/>
          <w:sz w:val="32"/>
          <w:szCs w:val="32"/>
        </w:rPr>
        <w:t>各科室（单位）要将“信用交通县（市</w:t>
      </w:r>
      <w:r>
        <w:rPr>
          <w:rFonts w:ascii="宋体" w:hAnsi="宋体" w:eastAsia="仿宋_GB2312" w:cs="仿宋"/>
          <w:b/>
          <w:color w:val="auto"/>
          <w:sz w:val="32"/>
          <w:szCs w:val="32"/>
        </w:rPr>
        <w:t>、</w:t>
      </w:r>
      <w:r>
        <w:rPr>
          <w:rFonts w:hint="eastAsia" w:ascii="宋体" w:hAnsi="宋体" w:eastAsia="仿宋_GB2312" w:cs="仿宋"/>
          <w:b/>
          <w:color w:val="auto"/>
          <w:sz w:val="32"/>
          <w:szCs w:val="32"/>
        </w:rPr>
        <w:t>区）”创建工作纳入重要工作日程，并实施绩效考核，确保责任落实到位、任务完成到位。对推进缓慢的重点工作开展专项督查，建立创建工作机制与问责机制，对未按要求完成任务，影响创建工作的予以通报。</w:t>
      </w:r>
    </w:p>
    <w:p>
      <w:pPr>
        <w:widowControl w:val="0"/>
        <w:kinsoku/>
        <w:overflowPunct w:val="0"/>
        <w:autoSpaceDE/>
        <w:autoSpaceDN/>
        <w:adjustRightInd/>
        <w:snapToGrid/>
        <w:spacing w:line="616" w:lineRule="exact"/>
        <w:ind w:firstLine="643" w:firstLineChars="200"/>
        <w:jc w:val="both"/>
        <w:rPr>
          <w:rFonts w:ascii="宋体" w:hAnsi="宋体" w:eastAsia="仿宋_GB2312" w:cs="仿宋"/>
          <w:b/>
          <w:color w:val="auto"/>
          <w:sz w:val="32"/>
          <w:szCs w:val="32"/>
        </w:rPr>
      </w:pPr>
    </w:p>
    <w:p>
      <w:pPr>
        <w:widowControl w:val="0"/>
        <w:kinsoku/>
        <w:overflowPunct w:val="0"/>
        <w:autoSpaceDE/>
        <w:autoSpaceDN/>
        <w:adjustRightInd/>
        <w:snapToGrid/>
        <w:spacing w:line="616" w:lineRule="exact"/>
        <w:ind w:firstLine="643" w:firstLineChars="200"/>
        <w:jc w:val="both"/>
        <w:rPr>
          <w:rFonts w:ascii="宋体" w:hAnsi="宋体" w:eastAsia="仿宋_GB2312" w:cs="仿宋"/>
          <w:b/>
          <w:color w:val="auto"/>
          <w:sz w:val="32"/>
          <w:szCs w:val="32"/>
        </w:rPr>
      </w:pPr>
      <w:r>
        <w:rPr>
          <w:rFonts w:hint="eastAsia" w:ascii="宋体" w:hAnsi="宋体" w:eastAsia="仿宋_GB2312" w:cs="仿宋"/>
          <w:b/>
          <w:color w:val="auto"/>
          <w:sz w:val="32"/>
          <w:szCs w:val="32"/>
        </w:rPr>
        <w:t>附件：“信用交通县（市</w:t>
      </w:r>
      <w:r>
        <w:rPr>
          <w:rFonts w:ascii="宋体" w:hAnsi="宋体" w:eastAsia="仿宋_GB2312" w:cs="仿宋"/>
          <w:b/>
          <w:color w:val="auto"/>
          <w:sz w:val="32"/>
          <w:szCs w:val="32"/>
        </w:rPr>
        <w:t>、</w:t>
      </w:r>
      <w:r>
        <w:rPr>
          <w:rFonts w:hint="eastAsia" w:ascii="宋体" w:hAnsi="宋体" w:eastAsia="仿宋_GB2312" w:cs="仿宋"/>
          <w:b/>
          <w:color w:val="auto"/>
          <w:sz w:val="32"/>
          <w:szCs w:val="32"/>
        </w:rPr>
        <w:t>区）”创建任务及责任分工</w:t>
      </w:r>
    </w:p>
    <w:p>
      <w:pPr>
        <w:widowControl w:val="0"/>
        <w:kinsoku/>
        <w:overflowPunct w:val="0"/>
        <w:autoSpaceDE/>
        <w:autoSpaceDN/>
        <w:adjustRightInd/>
        <w:snapToGrid/>
        <w:spacing w:line="616" w:lineRule="exact"/>
        <w:jc w:val="both"/>
        <w:rPr>
          <w:rFonts w:ascii="宋体" w:hAnsi="宋体" w:eastAsia="仿宋_GB2312"/>
          <w:b/>
          <w:sz w:val="32"/>
          <w:szCs w:val="32"/>
        </w:rPr>
      </w:pPr>
    </w:p>
    <w:p>
      <w:pPr>
        <w:spacing w:line="600" w:lineRule="exact"/>
        <w:jc w:val="both"/>
        <w:rPr>
          <w:rFonts w:ascii="宋体" w:hAnsi="宋体" w:eastAsia="仿宋_GB2312"/>
          <w:b/>
          <w:sz w:val="32"/>
          <w:szCs w:val="32"/>
        </w:rPr>
        <w:sectPr>
          <w:footerReference r:id="rId3" w:type="default"/>
          <w:type w:val="nextColumn"/>
          <w:pgSz w:w="11900" w:h="16830"/>
          <w:pgMar w:top="1531" w:right="1531" w:bottom="1531" w:left="1531" w:header="851" w:footer="1418" w:gutter="0"/>
          <w:cols w:space="720" w:num="1"/>
          <w:docGrid w:type="lines" w:linePitch="286" w:charSpace="0"/>
        </w:sectPr>
      </w:pPr>
    </w:p>
    <w:p>
      <w:pPr>
        <w:spacing w:line="560" w:lineRule="exact"/>
        <w:rPr>
          <w:rFonts w:ascii="宋体" w:hAnsi="宋体" w:eastAsia="黑体" w:cs="仿宋"/>
          <w:b/>
          <w:sz w:val="32"/>
          <w:szCs w:val="32"/>
        </w:rPr>
      </w:pPr>
      <w:r>
        <w:rPr>
          <w:rFonts w:hint="eastAsia" w:ascii="宋体" w:hAnsi="宋体" w:eastAsia="黑体" w:cs="仿宋"/>
          <w:b/>
          <w:spacing w:val="-15"/>
          <w:sz w:val="32"/>
          <w:szCs w:val="32"/>
        </w:rPr>
        <w:t>附件</w:t>
      </w:r>
    </w:p>
    <w:p>
      <w:pPr>
        <w:spacing w:line="560" w:lineRule="exact"/>
        <w:jc w:val="center"/>
        <w:rPr>
          <w:rFonts w:ascii="宋体" w:hAnsi="宋体" w:eastAsia="黑体" w:cs="仿宋"/>
          <w:b/>
          <w:sz w:val="32"/>
          <w:szCs w:val="32"/>
        </w:rPr>
      </w:pPr>
      <w:r>
        <w:rPr>
          <w:rFonts w:hint="eastAsia" w:ascii="宋体" w:hAnsi="宋体" w:eastAsia="方正小标宋简体" w:cs="宋体"/>
          <w:b/>
          <w:bCs/>
          <w:spacing w:val="15"/>
          <w:sz w:val="44"/>
          <w:szCs w:val="44"/>
        </w:rPr>
        <w:t>“信用交通县（市、区）”创建任务及责任分工</w:t>
      </w:r>
    </w:p>
    <w:tbl>
      <w:tblPr>
        <w:tblStyle w:val="9"/>
        <w:tblW w:w="13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9"/>
        <w:gridCol w:w="7655"/>
        <w:gridCol w:w="2409"/>
        <w:gridCol w:w="1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8" w:hRule="atLeast"/>
          <w:tblHeader/>
          <w:jc w:val="center"/>
        </w:trPr>
        <w:tc>
          <w:tcPr>
            <w:tcW w:w="1759" w:type="dxa"/>
            <w:vAlign w:val="center"/>
          </w:tcPr>
          <w:p>
            <w:pPr>
              <w:widowControl w:val="0"/>
              <w:kinsoku/>
              <w:overflowPunct w:val="0"/>
              <w:autoSpaceDE/>
              <w:autoSpaceDN/>
              <w:adjustRightInd/>
              <w:snapToGrid/>
              <w:spacing w:line="320" w:lineRule="exact"/>
              <w:jc w:val="center"/>
              <w:rPr>
                <w:rFonts w:ascii="宋体" w:hAnsi="宋体" w:eastAsia="黑体" w:cs="宋体"/>
                <w:b/>
                <w:bCs/>
                <w:sz w:val="28"/>
                <w:szCs w:val="28"/>
              </w:rPr>
            </w:pPr>
            <w:r>
              <w:rPr>
                <w:rFonts w:hint="eastAsia" w:ascii="宋体" w:hAnsi="宋体" w:eastAsia="黑体" w:cs="宋体"/>
                <w:b/>
                <w:bCs/>
                <w:spacing w:val="-5"/>
                <w:sz w:val="28"/>
                <w:szCs w:val="28"/>
              </w:rPr>
              <w:t>建设</w:t>
            </w:r>
            <w:r>
              <w:rPr>
                <w:rFonts w:ascii="宋体" w:hAnsi="宋体" w:eastAsia="黑体" w:cs="宋体"/>
                <w:b/>
                <w:bCs/>
                <w:spacing w:val="-5"/>
                <w:sz w:val="28"/>
                <w:szCs w:val="28"/>
              </w:rPr>
              <w:t>指标</w:t>
            </w:r>
          </w:p>
        </w:tc>
        <w:tc>
          <w:tcPr>
            <w:tcW w:w="7655" w:type="dxa"/>
            <w:vAlign w:val="center"/>
          </w:tcPr>
          <w:p>
            <w:pPr>
              <w:widowControl w:val="0"/>
              <w:kinsoku/>
              <w:overflowPunct w:val="0"/>
              <w:autoSpaceDE/>
              <w:autoSpaceDN/>
              <w:adjustRightInd/>
              <w:snapToGrid/>
              <w:spacing w:line="320" w:lineRule="exact"/>
              <w:jc w:val="center"/>
              <w:rPr>
                <w:rFonts w:ascii="宋体" w:hAnsi="宋体" w:eastAsia="黑体" w:cs="宋体"/>
                <w:b/>
                <w:bCs/>
                <w:sz w:val="28"/>
                <w:szCs w:val="28"/>
              </w:rPr>
            </w:pPr>
            <w:r>
              <w:rPr>
                <w:rFonts w:ascii="宋体" w:hAnsi="宋体" w:eastAsia="黑体" w:cs="宋体"/>
                <w:b/>
                <w:bCs/>
                <w:sz w:val="28"/>
                <w:szCs w:val="28"/>
              </w:rPr>
              <w:t>工作内容及评估标准</w:t>
            </w:r>
          </w:p>
        </w:tc>
        <w:tc>
          <w:tcPr>
            <w:tcW w:w="2409" w:type="dxa"/>
            <w:vAlign w:val="center"/>
          </w:tcPr>
          <w:p>
            <w:pPr>
              <w:widowControl w:val="0"/>
              <w:kinsoku/>
              <w:overflowPunct w:val="0"/>
              <w:autoSpaceDE/>
              <w:autoSpaceDN/>
              <w:adjustRightInd/>
              <w:snapToGrid/>
              <w:spacing w:line="320" w:lineRule="exact"/>
              <w:jc w:val="center"/>
              <w:rPr>
                <w:rFonts w:ascii="宋体" w:hAnsi="宋体" w:eastAsia="黑体" w:cs="宋体"/>
                <w:b/>
                <w:bCs/>
                <w:sz w:val="28"/>
                <w:szCs w:val="28"/>
              </w:rPr>
            </w:pPr>
            <w:r>
              <w:rPr>
                <w:rFonts w:ascii="宋体" w:hAnsi="宋体" w:eastAsia="黑体" w:cs="宋体"/>
                <w:b/>
                <w:bCs/>
                <w:spacing w:val="-2"/>
                <w:sz w:val="28"/>
                <w:szCs w:val="28"/>
              </w:rPr>
              <w:t>责任单位</w:t>
            </w:r>
          </w:p>
        </w:tc>
        <w:tc>
          <w:tcPr>
            <w:tcW w:w="1785" w:type="dxa"/>
            <w:vAlign w:val="center"/>
          </w:tcPr>
          <w:p>
            <w:pPr>
              <w:widowControl w:val="0"/>
              <w:kinsoku/>
              <w:overflowPunct w:val="0"/>
              <w:autoSpaceDE/>
              <w:autoSpaceDN/>
              <w:adjustRightInd/>
              <w:snapToGrid/>
              <w:spacing w:line="320" w:lineRule="exact"/>
              <w:jc w:val="center"/>
              <w:rPr>
                <w:rFonts w:ascii="宋体" w:hAnsi="宋体" w:eastAsia="黑体" w:cs="宋体"/>
                <w:b/>
                <w:bCs/>
                <w:spacing w:val="-2"/>
                <w:sz w:val="28"/>
                <w:szCs w:val="28"/>
              </w:rPr>
            </w:pPr>
            <w:r>
              <w:rPr>
                <w:rFonts w:hint="eastAsia" w:ascii="宋体" w:hAnsi="宋体" w:eastAsia="黑体" w:cs="宋体"/>
                <w:b/>
                <w:bCs/>
                <w:spacing w:val="-2"/>
                <w:sz w:val="28"/>
                <w:szCs w:val="28"/>
              </w:rPr>
              <w:t>时间节点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2" w:hRule="atLeast"/>
          <w:jc w:val="center"/>
        </w:trPr>
        <w:tc>
          <w:tcPr>
            <w:tcW w:w="1759" w:type="dxa"/>
            <w:vMerge w:val="restart"/>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一、制度建设</w:t>
            </w: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1.成立本地区“信用交通县”创建工作领导小组（交通运输信用体系建设领导小组），得1分。领导小组下设信用工作办公室或专班，工作人员不少于2</w:t>
            </w:r>
            <w:r>
              <w:rPr>
                <w:rFonts w:hint="eastAsia" w:ascii="宋体" w:hAnsi="宋体" w:eastAsia="仿宋" w:cs="仿宋"/>
                <w:b/>
                <w:sz w:val="28"/>
                <w:szCs w:val="28"/>
                <w:lang w:val="en-US" w:eastAsia="zh-CN"/>
              </w:rPr>
              <w:t>人</w:t>
            </w:r>
            <w:r>
              <w:rPr>
                <w:rFonts w:hint="eastAsia" w:ascii="宋体" w:hAnsi="宋体" w:eastAsia="仿宋" w:cs="仿宋"/>
                <w:b/>
                <w:sz w:val="28"/>
                <w:szCs w:val="28"/>
              </w:rPr>
              <w:t>，得2分，每少1人扣1分。</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法规科、办公室</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4月底前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8" w:hRule="atLeast"/>
          <w:jc w:val="center"/>
        </w:trPr>
        <w:tc>
          <w:tcPr>
            <w:tcW w:w="1759" w:type="dxa"/>
            <w:vMerge w:val="continue"/>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pacing w:val="8"/>
                <w:sz w:val="28"/>
                <w:szCs w:val="28"/>
              </w:rPr>
              <w:t>2.制订“信用交通县”创建工作方案，明确时间表、任务分工和责任部门，得2分。按照工作方案，开展具体落实，每月更新进展情况，形成月度工作记录或台账，得2分。（“信用交通县”创建工作方案须在所在地人民政府网站主动公开和发布，否则不得分）</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法规科、办公室</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4月底前公布方案；</w:t>
            </w:r>
          </w:p>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每月汇总进展情况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8" w:hRule="atLeast"/>
          <w:jc w:val="center"/>
        </w:trPr>
        <w:tc>
          <w:tcPr>
            <w:tcW w:w="1759" w:type="dxa"/>
            <w:vMerge w:val="continue"/>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3.在本地区交通运输年度工作计划或工作要点中纳入信用工作，得2分。</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法规科、政策研究室</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4月底前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3" w:hRule="atLeast"/>
          <w:jc w:val="center"/>
        </w:trPr>
        <w:tc>
          <w:tcPr>
            <w:tcW w:w="1759" w:type="dxa"/>
            <w:vMerge w:val="continue"/>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lang w:bidi="ar"/>
              </w:rPr>
              <w:t>4.本地区“信用交通县”创建领导小组（交通运输信用体系建设领导小组）每季度至少1次研究推进“信用交通县”创建工作并开展信用专题学习，得1分，最多4分。（本指标体系“六、1”中的内容在此处不计入）</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法规科、办公室</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每季度至少1次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5" w:hRule="atLeast"/>
          <w:jc w:val="center"/>
        </w:trPr>
        <w:tc>
          <w:tcPr>
            <w:tcW w:w="1759" w:type="dxa"/>
            <w:vMerge w:val="restart"/>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二、联动机制</w:t>
            </w: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lang w:bidi="ar"/>
              </w:rPr>
              <w:t>1.与市交通运输局形成定期沟通联络机制，每季度至少1次共同研究推动本地区“信用交通县”建设，确保各项任务扎实落地，得1分，最多4分。</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法规科、办公室</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每季度至少1次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759" w:type="dxa"/>
            <w:vMerge w:val="continue"/>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2.交通运输部门与本地区社会信用体系建设牵头部门、行政审批部门、宣传部门形成长期的沟通对接协调机制，得1分。</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法规科、办公室</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上半年1次，视情况下半年再进行1次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8" w:hRule="atLeast"/>
          <w:jc w:val="center"/>
        </w:trPr>
        <w:tc>
          <w:tcPr>
            <w:tcW w:w="1759" w:type="dxa"/>
            <w:vMerge w:val="restart"/>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三、信息管理</w:t>
            </w:r>
          </w:p>
        </w:tc>
        <w:tc>
          <w:tcPr>
            <w:tcW w:w="7655"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lang w:bidi="ar"/>
              </w:rPr>
              <w:t>1.每季度向“信用交通·山东”网站至少报送2条信用工作信息，每条得1分，单季度最多2分，全年最多8分。（不允许补报，且本指标体系“五、3”中的内容在此处不计入）</w:t>
            </w:r>
          </w:p>
        </w:tc>
        <w:tc>
          <w:tcPr>
            <w:tcW w:w="2409"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法规科、办公室</w:t>
            </w:r>
          </w:p>
        </w:tc>
        <w:tc>
          <w:tcPr>
            <w:tcW w:w="1785"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每季度至少2次，尽量不集中季度末最后推送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3" w:hRule="atLeast"/>
          <w:jc w:val="center"/>
        </w:trPr>
        <w:tc>
          <w:tcPr>
            <w:tcW w:w="1759" w:type="dxa"/>
            <w:vMerge w:val="continue"/>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lang w:bidi="ar"/>
              </w:rPr>
              <w:t>2.结合本地实际，每归集增加一个在汽车维修、驾驶员培训、出租车（含网约车）、城市公交等领域的信用数据并共享至“信用交通·山东”网站，得1分，最多4分。（报送信用评价类数据时，须结合本指标体系“四、2”中的要求，经公示后且符合“信用交通·山东”网站格式规范，否则不得分）</w:t>
            </w:r>
          </w:p>
        </w:tc>
        <w:tc>
          <w:tcPr>
            <w:tcW w:w="2409"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产业发展科、客运科、货运科、维管驾培服务科、执法大队、公路综合科、法规科</w:t>
            </w:r>
          </w:p>
        </w:tc>
        <w:tc>
          <w:tcPr>
            <w:tcW w:w="1785"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按照日常工作安排随时报送，也可集中报送，每季度至少1次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2" w:hRule="atLeast"/>
          <w:jc w:val="center"/>
        </w:trPr>
        <w:tc>
          <w:tcPr>
            <w:tcW w:w="1759" w:type="dxa"/>
            <w:vMerge w:val="restart"/>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四、信用应用</w:t>
            </w:r>
          </w:p>
        </w:tc>
        <w:tc>
          <w:tcPr>
            <w:tcW w:w="7655"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lang w:bidi="ar"/>
              </w:rPr>
              <w:t>1.开展信用承诺制相关宣传，广泛告知行政相对主体，参照《山东省交通运输信用管理办法》模板样式组织签订信用承诺书，加强行业自律，得2分。（签订后的信用承诺书须按“信用交通·山东”网站格式规范进行上传，否则不得分）</w:t>
            </w:r>
          </w:p>
        </w:tc>
        <w:tc>
          <w:tcPr>
            <w:tcW w:w="2409"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客运科、货运科、维管驾培服务科、公路建设科、养护科、市政道路桥梁服务中心、法规科</w:t>
            </w:r>
          </w:p>
        </w:tc>
        <w:tc>
          <w:tcPr>
            <w:tcW w:w="1785"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9月底之前完成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3" w:hRule="atLeast"/>
          <w:jc w:val="center"/>
        </w:trPr>
        <w:tc>
          <w:tcPr>
            <w:tcW w:w="1759" w:type="dxa"/>
            <w:vMerge w:val="continue"/>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2.结合本地实际，建立信用评价制度或实施方案，每在1个重点领域或二级领域开展并形成评价结果，得2分，最多8分。（信用评价结果须在所在地人民政府网站公示公开，否则不得分）</w:t>
            </w:r>
          </w:p>
        </w:tc>
        <w:tc>
          <w:tcPr>
            <w:tcW w:w="2409"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安全监督科、客运科、货运科、维管驾培服务科</w:t>
            </w:r>
          </w:p>
        </w:tc>
        <w:tc>
          <w:tcPr>
            <w:tcW w:w="1785"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9月底之前完成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8" w:hRule="atLeast"/>
          <w:jc w:val="center"/>
        </w:trPr>
        <w:tc>
          <w:tcPr>
            <w:tcW w:w="1759" w:type="dxa"/>
            <w:vMerge w:val="continue"/>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lang w:bidi="ar"/>
              </w:rPr>
              <w:t>3.根据信用评价结果，实施分级分类监管，每应用于1个重点领域或二级领域得2分，最多8分。（出台的实施分级分类监管文件须在所在地人民政府网站主动公开和发布，否则不得分）</w:t>
            </w:r>
          </w:p>
        </w:tc>
        <w:tc>
          <w:tcPr>
            <w:tcW w:w="2409"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安全监督科、客运科、货运科、维管驾培服务科、法规科</w:t>
            </w:r>
          </w:p>
        </w:tc>
        <w:tc>
          <w:tcPr>
            <w:tcW w:w="1785" w:type="dxa"/>
            <w:vAlign w:val="center"/>
          </w:tcPr>
          <w:p>
            <w:pPr>
              <w:widowControl w:val="0"/>
              <w:kinsoku/>
              <w:overflowPunct w:val="0"/>
              <w:autoSpaceDE/>
              <w:autoSpaceDN/>
              <w:adjustRightInd/>
              <w:snapToGrid/>
              <w:spacing w:line="340" w:lineRule="exact"/>
              <w:jc w:val="both"/>
              <w:rPr>
                <w:rFonts w:ascii="宋体" w:hAnsi="宋体" w:eastAsia="仿宋" w:cs="仿宋"/>
                <w:b/>
                <w:sz w:val="28"/>
                <w:szCs w:val="28"/>
              </w:rPr>
            </w:pPr>
            <w:r>
              <w:rPr>
                <w:rFonts w:hint="eastAsia" w:ascii="宋体" w:hAnsi="宋体" w:eastAsia="仿宋" w:cs="仿宋"/>
                <w:b/>
                <w:sz w:val="28"/>
                <w:szCs w:val="28"/>
              </w:rPr>
              <w:t>11月份之前完成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3" w:hRule="atLeast"/>
          <w:jc w:val="center"/>
        </w:trPr>
        <w:tc>
          <w:tcPr>
            <w:tcW w:w="1759" w:type="dxa"/>
            <w:vMerge w:val="restart"/>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四、信用应用</w:t>
            </w:r>
          </w:p>
        </w:tc>
        <w:tc>
          <w:tcPr>
            <w:tcW w:w="7655"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lang w:bidi="ar"/>
              </w:rPr>
              <w:t>4.在行政许可、政府采购、招标投标等行政管理事项中使用信用评价结果、信用报告等（含“信用交通·山东”查询结果），每应用于1个重点领域或二级领域得0.5分，最多2分。</w:t>
            </w:r>
          </w:p>
        </w:tc>
        <w:tc>
          <w:tcPr>
            <w:tcW w:w="2409"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公路综合科、公路建设科、养护科、财务审计科、市政道路桥梁服务中心、政务服务大厅交通窗口</w:t>
            </w:r>
          </w:p>
        </w:tc>
        <w:tc>
          <w:tcPr>
            <w:tcW w:w="1785"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每季度统计汇总1次，12月份之前完成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7" w:hRule="atLeast"/>
          <w:jc w:val="center"/>
        </w:trPr>
        <w:tc>
          <w:tcPr>
            <w:tcW w:w="1759" w:type="dxa"/>
            <w:vMerge w:val="continue"/>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lang w:bidi="ar"/>
              </w:rPr>
            </w:pPr>
            <w:r>
              <w:rPr>
                <w:rFonts w:hint="eastAsia" w:ascii="宋体" w:hAnsi="宋体" w:eastAsia="仿宋" w:cs="仿宋"/>
                <w:b/>
                <w:sz w:val="28"/>
                <w:szCs w:val="28"/>
                <w:lang w:bidi="ar"/>
              </w:rPr>
              <w:t>5.鼓励被列入行政处罚或严重失信名单的主体按照程序开展信用修复工作（含“信用交通·山东”网站转办的信用修复工作），每修复1起加1分，最多5分。</w:t>
            </w:r>
          </w:p>
        </w:tc>
        <w:tc>
          <w:tcPr>
            <w:tcW w:w="2409"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执法大队、法规科</w:t>
            </w:r>
          </w:p>
        </w:tc>
        <w:tc>
          <w:tcPr>
            <w:tcW w:w="1785"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9月底之前完成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2" w:hRule="atLeast"/>
          <w:jc w:val="center"/>
        </w:trPr>
        <w:tc>
          <w:tcPr>
            <w:tcW w:w="1759" w:type="dxa"/>
            <w:vMerge w:val="restart"/>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五、诚信宣传</w:t>
            </w:r>
          </w:p>
        </w:tc>
        <w:tc>
          <w:tcPr>
            <w:tcW w:w="7655"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lang w:bidi="ar"/>
              </w:rPr>
              <w:t>1.根据省厅统一部署，开展“信用交通宣传月（诚信兴商宣传月）”活动并取得实际成效，得4分。（含活动通知、图片或视频、活动总结、宣传报道等）</w:t>
            </w:r>
          </w:p>
        </w:tc>
        <w:tc>
          <w:tcPr>
            <w:tcW w:w="2409"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法规科、客运科、货运科、维管驾培服务科、公路建设科、养护科、市政道路桥梁服务中心、执法大队、党建办</w:t>
            </w:r>
          </w:p>
        </w:tc>
        <w:tc>
          <w:tcPr>
            <w:tcW w:w="1785"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11月底之前完成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9" w:type="dxa"/>
            <w:vMerge w:val="continue"/>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lang w:bidi="ar"/>
              </w:rPr>
              <w:t>2.开展本地区行业诚信典范培树活动并取得实际成效，推介行业重大诚信典型（企业或个人），得4分。（含活动通知、图片或视频、评选标准、公示文件、宣传报道等）</w:t>
            </w:r>
          </w:p>
        </w:tc>
        <w:tc>
          <w:tcPr>
            <w:tcW w:w="2409"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客运科、货运科、维管驾培服务科、法规科</w:t>
            </w:r>
          </w:p>
        </w:tc>
        <w:tc>
          <w:tcPr>
            <w:tcW w:w="1785"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10月底之前完成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759" w:type="dxa"/>
            <w:vMerge w:val="continue"/>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lang w:bidi="ar"/>
              </w:rPr>
              <w:t>3.在“信用交通·山东”网站发表“一把手谈信用”文章，得2分；报送行业诚信典型案例（企业或个人），每个类型得0.5分，最多1分。</w:t>
            </w:r>
          </w:p>
        </w:tc>
        <w:tc>
          <w:tcPr>
            <w:tcW w:w="2409"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1.法规科、政策研究室2.客运科、货运科、维管驾培服务科</w:t>
            </w:r>
          </w:p>
        </w:tc>
        <w:tc>
          <w:tcPr>
            <w:tcW w:w="1785"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“一把手谈信用”6月底前完成；</w:t>
            </w:r>
          </w:p>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典型案例报送11月底之前完成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3" w:hRule="atLeast"/>
          <w:jc w:val="center"/>
        </w:trPr>
        <w:tc>
          <w:tcPr>
            <w:tcW w:w="1759" w:type="dxa"/>
            <w:vAlign w:val="center"/>
          </w:tcPr>
          <w:p>
            <w:pPr>
              <w:widowControl w:val="0"/>
              <w:kinsoku/>
              <w:overflowPunct w:val="0"/>
              <w:autoSpaceDE/>
              <w:autoSpaceDN/>
              <w:adjustRightInd/>
              <w:snapToGrid/>
              <w:spacing w:line="304" w:lineRule="exact"/>
              <w:jc w:val="both"/>
              <w:rPr>
                <w:rFonts w:ascii="宋体" w:hAnsi="宋体" w:eastAsia="仿宋" w:cs="仿宋"/>
                <w:b/>
                <w:sz w:val="28"/>
                <w:szCs w:val="28"/>
              </w:rPr>
            </w:pPr>
            <w:r>
              <w:rPr>
                <w:rFonts w:hint="eastAsia" w:ascii="宋体" w:hAnsi="宋体" w:eastAsia="仿宋" w:cs="仿宋"/>
                <w:b/>
                <w:sz w:val="28"/>
                <w:szCs w:val="28"/>
              </w:rPr>
              <w:t>五、诚信宣传</w:t>
            </w: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lang w:bidi="ar"/>
              </w:rPr>
            </w:pPr>
            <w:r>
              <w:rPr>
                <w:rFonts w:hint="eastAsia" w:ascii="宋体" w:hAnsi="宋体" w:eastAsia="仿宋" w:cs="仿宋"/>
                <w:b/>
                <w:sz w:val="28"/>
                <w:szCs w:val="28"/>
                <w:lang w:bidi="ar"/>
              </w:rPr>
              <w:t>4.结合本地实际开展“诚信建设万里行”“诚信春运”“美德山东（与信用交通结合）”等各类特色主题活动，营造良好诚信氛围。每开展1项主题活动得2分，最多4分。（含活动通知、图片或视频、宣传报道等）</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法规科、党建办、客运科、货运科、维管驾培服务科、执法大队</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尽量二三四季度分别举行一次，11月底之前完成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2" w:hRule="atLeast"/>
          <w:jc w:val="center"/>
        </w:trPr>
        <w:tc>
          <w:tcPr>
            <w:tcW w:w="1759" w:type="dxa"/>
            <w:vMerge w:val="restart"/>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六、培训交流</w:t>
            </w: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lang w:bidi="ar"/>
              </w:rPr>
              <w:t>1.本地区交通运输主管部门组织学习《山东省交通运输信用管理办法》，得1分；参加省厅统一组织的信用工作相关培训会，得1分。</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法规科、办公室</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专题学习会议6月底前完成；</w:t>
            </w:r>
          </w:p>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其他会议资料整理11月底之前完成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1759" w:type="dxa"/>
            <w:vMerge w:val="continue"/>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lang w:bidi="ar"/>
              </w:rPr>
              <w:t>2.组织辖区内从业企业和从业人员参加公益性信用知识和信用修复专题培训（含现场指导），得2分。</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法规科、客运科、货运科、维管驾培服务科、执法大队</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9月底之前完成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8" w:hRule="atLeast"/>
          <w:jc w:val="center"/>
        </w:trPr>
        <w:tc>
          <w:tcPr>
            <w:tcW w:w="1759" w:type="dxa"/>
            <w:vMerge w:val="continue"/>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lang w:bidi="ar"/>
              </w:rPr>
              <w:t>3.到“信用交通县”建设先进地区交流、学习，开展专题调研，得2分。</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法规科、办公室、产业发展科、客运科、货运科、维管驾培服务科、政务服务大厅交通窗口、执法大队、公路综合科、建设科、养护科、市政道路桥梁服务中心、财务审计</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9月底之前完成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2" w:hRule="atLeast"/>
          <w:jc w:val="center"/>
        </w:trPr>
        <w:tc>
          <w:tcPr>
            <w:tcW w:w="1759" w:type="dxa"/>
            <w:vMerge w:val="restart"/>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七、探索创新</w:t>
            </w: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lang w:bidi="ar"/>
              </w:rPr>
              <w:t>1.结合行业信用评价和分级分类监管，制定“信易行”“信易贷”“信易租”“信易批”“信易保”等各类“信易+”相关政策文件，推出信用产品，每个得5分，最多10分。（“信易+”相关政策文件须在所在地人民政府网站主动公开和发布，否则不得分）</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客运科、维管驾培服务科、法规科、办公室</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7月底之前完成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8" w:hRule="atLeast"/>
          <w:jc w:val="center"/>
        </w:trPr>
        <w:tc>
          <w:tcPr>
            <w:tcW w:w="1759" w:type="dxa"/>
            <w:vMerge w:val="continue"/>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lang w:bidi="ar"/>
              </w:rPr>
              <w:t>2.根据制定的“信易+”政策文件，采取实际措施推进“信易行”“信易贷”“信易租”“信易批”“信易保”等各类“信易+”场景应用，取得实际或阶段性成效（须有佐证材料及实际数据支撑），每个得5分，最多10分。</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客运科、维管驾培服务科、法规科</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9月底之前完成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8" w:hRule="atLeast"/>
          <w:jc w:val="center"/>
        </w:trPr>
        <w:tc>
          <w:tcPr>
            <w:tcW w:w="1759" w:type="dxa"/>
            <w:vMerge w:val="continue"/>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p>
        </w:tc>
        <w:tc>
          <w:tcPr>
            <w:tcW w:w="765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lang w:bidi="ar"/>
              </w:rPr>
              <w:t>3.对已取得实际或阶段性成效的各类“信易+”产品进行报道，形成典型场景案例并广泛宣传，每个得2分，最多4分。（“信用交通·山东”网站宣传不计入）</w:t>
            </w:r>
          </w:p>
        </w:tc>
        <w:tc>
          <w:tcPr>
            <w:tcW w:w="2409"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法规科、办公室、党建办</w:t>
            </w:r>
          </w:p>
        </w:tc>
        <w:tc>
          <w:tcPr>
            <w:tcW w:w="1785" w:type="dxa"/>
            <w:vAlign w:val="center"/>
          </w:tcPr>
          <w:p>
            <w:pPr>
              <w:widowControl w:val="0"/>
              <w:kinsoku/>
              <w:overflowPunct w:val="0"/>
              <w:autoSpaceDE/>
              <w:autoSpaceDN/>
              <w:adjustRightInd/>
              <w:snapToGrid/>
              <w:spacing w:line="320" w:lineRule="exact"/>
              <w:jc w:val="both"/>
              <w:rPr>
                <w:rFonts w:ascii="宋体" w:hAnsi="宋体" w:eastAsia="仿宋" w:cs="仿宋"/>
                <w:b/>
                <w:sz w:val="28"/>
                <w:szCs w:val="28"/>
              </w:rPr>
            </w:pPr>
            <w:r>
              <w:rPr>
                <w:rFonts w:hint="eastAsia" w:ascii="宋体" w:hAnsi="宋体" w:eastAsia="仿宋" w:cs="仿宋"/>
                <w:b/>
                <w:sz w:val="28"/>
                <w:szCs w:val="28"/>
              </w:rPr>
              <w:t>11月底之前完成</w:t>
            </w:r>
          </w:p>
        </w:tc>
      </w:tr>
    </w:tbl>
    <w:p>
      <w:pPr>
        <w:ind w:firstLine="420"/>
        <w:rPr>
          <w:rFonts w:ascii="宋体" w:hAnsi="宋体" w:eastAsia="仿宋" w:cs="仿宋"/>
          <w:b/>
          <w:sz w:val="28"/>
          <w:szCs w:val="28"/>
        </w:rPr>
      </w:pPr>
      <w:r>
        <w:rPr>
          <w:rFonts w:hint="eastAsia" w:ascii="宋体" w:hAnsi="宋体" w:eastAsia="仿宋" w:cs="仿宋"/>
          <w:b/>
          <w:sz w:val="28"/>
          <w:szCs w:val="28"/>
          <w:lang w:bidi="ar"/>
        </w:rPr>
        <w:t>注：交通运输重点领域指公路工程建设、水运工程建设、道路运输、水路运输和安全生产领域。</w:t>
      </w:r>
    </w:p>
    <w:p>
      <w:pPr>
        <w:ind w:firstLine="420"/>
        <w:rPr>
          <w:rFonts w:ascii="宋体" w:hAnsi="宋体" w:eastAsia="仿宋" w:cs="仿宋"/>
          <w:b/>
          <w:sz w:val="28"/>
          <w:szCs w:val="28"/>
        </w:rPr>
      </w:pPr>
      <w:r>
        <w:rPr>
          <w:rFonts w:hint="eastAsia" w:ascii="宋体" w:hAnsi="宋体" w:eastAsia="仿宋" w:cs="仿宋"/>
          <w:b/>
          <w:sz w:val="28"/>
          <w:szCs w:val="28"/>
          <w:lang w:bidi="ar"/>
        </w:rPr>
        <w:t>细分领域：</w:t>
      </w:r>
    </w:p>
    <w:p>
      <w:pPr>
        <w:ind w:firstLine="420"/>
        <w:rPr>
          <w:rFonts w:ascii="宋体" w:hAnsi="宋体" w:eastAsia="仿宋" w:cs="仿宋"/>
          <w:b/>
          <w:sz w:val="28"/>
          <w:szCs w:val="28"/>
        </w:rPr>
      </w:pPr>
      <w:r>
        <w:rPr>
          <w:rFonts w:hint="eastAsia" w:ascii="宋体" w:hAnsi="宋体" w:eastAsia="仿宋" w:cs="仿宋"/>
          <w:b/>
          <w:sz w:val="28"/>
          <w:szCs w:val="28"/>
          <w:lang w:bidi="ar"/>
        </w:rPr>
        <w:t xml:space="preserve">公路工程建设：公路设计、公路施工、公路监理、公路养护、公路试验检测等。 </w:t>
      </w:r>
    </w:p>
    <w:p>
      <w:pPr>
        <w:ind w:firstLine="420"/>
        <w:rPr>
          <w:rFonts w:ascii="宋体" w:hAnsi="宋体" w:eastAsia="仿宋" w:cs="仿宋"/>
          <w:b/>
          <w:sz w:val="28"/>
          <w:szCs w:val="28"/>
        </w:rPr>
      </w:pPr>
      <w:r>
        <w:rPr>
          <w:rFonts w:hint="eastAsia" w:ascii="宋体" w:hAnsi="宋体" w:eastAsia="仿宋" w:cs="仿宋"/>
          <w:b/>
          <w:sz w:val="28"/>
          <w:szCs w:val="28"/>
          <w:lang w:bidi="ar"/>
        </w:rPr>
        <w:t xml:space="preserve">水运工程建设：水运工程设计、水运工程施工、水运工程监理等。 </w:t>
      </w:r>
    </w:p>
    <w:p>
      <w:pPr>
        <w:ind w:firstLine="420"/>
        <w:rPr>
          <w:rFonts w:ascii="宋体" w:hAnsi="宋体" w:eastAsia="仿宋" w:cs="仿宋"/>
          <w:b/>
          <w:sz w:val="28"/>
          <w:szCs w:val="28"/>
        </w:rPr>
      </w:pPr>
      <w:r>
        <w:rPr>
          <w:rFonts w:hint="eastAsia" w:ascii="宋体" w:hAnsi="宋体" w:eastAsia="仿宋" w:cs="仿宋"/>
          <w:b/>
          <w:sz w:val="28"/>
          <w:szCs w:val="28"/>
          <w:lang w:bidi="ar"/>
        </w:rPr>
        <w:t xml:space="preserve">道路运输：道路客运、道路货运、城市交通、机动车维修、驾驶员培训等。 </w:t>
      </w:r>
    </w:p>
    <w:p>
      <w:pPr>
        <w:ind w:firstLine="420"/>
        <w:rPr>
          <w:rFonts w:ascii="宋体" w:hAnsi="宋体" w:eastAsia="仿宋" w:cs="仿宋"/>
          <w:b/>
          <w:sz w:val="28"/>
          <w:szCs w:val="28"/>
          <w:lang w:bidi="ar"/>
        </w:rPr>
        <w:sectPr>
          <w:footerReference r:id="rId4" w:type="default"/>
          <w:pgSz w:w="16838" w:h="11906" w:orient="landscape"/>
          <w:pgMar w:top="1531" w:right="1531" w:bottom="1531" w:left="1531" w:header="851" w:footer="1191" w:gutter="0"/>
          <w:cols w:space="720" w:num="1"/>
          <w:docGrid w:type="lines" w:linePitch="286" w:charSpace="0"/>
        </w:sectPr>
      </w:pPr>
      <w:r>
        <w:rPr>
          <w:rFonts w:hint="eastAsia" w:ascii="宋体" w:hAnsi="宋体" w:eastAsia="仿宋" w:cs="仿宋"/>
          <w:b/>
          <w:sz w:val="28"/>
          <w:szCs w:val="28"/>
          <w:lang w:bidi="ar"/>
        </w:rPr>
        <w:t>水路运输：水路客运、水路货运、港口、航道等。</w:t>
      </w: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ind w:firstLine="420"/>
        <w:rPr>
          <w:rFonts w:ascii="宋体" w:hAnsi="宋体" w:eastAsia="仿宋" w:cs="仿宋"/>
          <w:b/>
          <w:sz w:val="32"/>
          <w:szCs w:val="32"/>
        </w:rPr>
      </w:pPr>
    </w:p>
    <w:p>
      <w:pPr>
        <w:spacing w:line="560" w:lineRule="exact"/>
        <w:rPr>
          <w:rFonts w:ascii="新宋体" w:hAnsi="新宋体" w:eastAsia="仿宋" w:cs="仿宋"/>
          <w:sz w:val="32"/>
          <w:szCs w:val="32"/>
        </w:rPr>
      </w:pPr>
    </w:p>
    <w:p>
      <w:pPr>
        <w:spacing w:line="560" w:lineRule="exact"/>
        <w:rPr>
          <w:rFonts w:ascii="新宋体" w:hAnsi="新宋体" w:eastAsia="仿宋" w:cs="仿宋"/>
          <w:sz w:val="32"/>
          <w:szCs w:val="32"/>
        </w:rPr>
      </w:pPr>
    </w:p>
    <w:p>
      <w:pPr>
        <w:kinsoku/>
        <w:overflowPunct w:val="0"/>
        <w:autoSpaceDE/>
        <w:autoSpaceDN/>
        <w:spacing w:line="600" w:lineRule="exact"/>
        <w:jc w:val="center"/>
        <w:rPr>
          <w:rFonts w:ascii="宋体" w:hAnsi="宋体" w:eastAsia="仿宋" w:cs="仿宋"/>
          <w:b/>
          <w:sz w:val="32"/>
          <w:szCs w:val="32"/>
        </w:rPr>
      </w:pPr>
      <w:r>
        <w:rPr>
          <w:rFonts w:ascii="宋体" w:hAnsi="宋体" w:eastAsia="仿宋_GB2312" w:cs="仿宋_GB2312"/>
          <w:b/>
          <w:sz w:val="32"/>
          <w:szCs w:val="32"/>
        </w:rPr>
        <mc:AlternateContent>
          <mc:Choice Requires="wps">
            <w:drawing>
              <wp:anchor distT="0" distB="0" distL="114300" distR="114300" simplePos="0" relativeHeight="251662336" behindDoc="1" locked="0" layoutInCell="1" allowOverlap="1">
                <wp:simplePos x="0" y="0"/>
                <wp:positionH relativeFrom="margin">
                  <wp:align>center</wp:align>
                </wp:positionH>
                <wp:positionV relativeFrom="paragraph">
                  <wp:posOffset>429895</wp:posOffset>
                </wp:positionV>
                <wp:extent cx="5615940" cy="0"/>
                <wp:effectExtent l="0" t="0" r="2286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top:33.85pt;height:0pt;width:442.2pt;mso-position-horizontal:center;mso-position-horizontal-relative:margin;z-index:-251654144;mso-width-relative:page;mso-height-relative:page;" filled="f" stroked="t" coordsize="21600,21600" o:gfxdata="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vzR2dMAAAAGAQAA&#10;DwAAAAAAAAABACAAAAAiAAAAZHJzL2Rvd25yZXYueG1sUEsBAhQAFAAAAAgAh07iQG5eXWXlAQAA&#10;qwMAAA4AAAAAAAAAAQAgAAAAIgEAAGRycy9lMm9Eb2MueG1sUEsFBgAAAAAGAAYAWQEAAHkFAAAA&#10;AA==&#10;">
                <v:fill on="f" focussize="0,0"/>
                <v:stroke weight="1.5pt" color="#000000" joinstyle="round"/>
                <v:imagedata o:title=""/>
                <o:lock v:ext="edit" aspectratio="f"/>
              </v:line>
            </w:pict>
          </mc:Fallback>
        </mc:AlternateContent>
      </w:r>
      <w:r>
        <w:rPr>
          <w:rFonts w:ascii="宋体" w:hAnsi="宋体" w:eastAsia="仿宋_GB2312" w:cs="仿宋_GB2312"/>
          <w:b/>
          <w:sz w:val="32"/>
          <w:szCs w:val="32"/>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36195</wp:posOffset>
                </wp:positionV>
                <wp:extent cx="5615940" cy="0"/>
                <wp:effectExtent l="0" t="0" r="2286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top:2.85pt;height:0pt;width:442.2pt;mso-position-horizontal:center;mso-position-horizontal-relative:margin;z-index:-251656192;mso-width-relative:page;mso-height-relative:page;" filled="f" stroked="t" coordsize="21600,21600" o:gfxdata="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QdnqnSAAAABAEAAA8A&#10;AAAAAAAAAQAgAAAAIgAAAGRycy9kb3ducmV2LnhtbFBLAQIUABQAAAAIAIdO4kBefMF15AEAAKsD&#10;AAAOAAAAAAAAAAEAIAAAACEBAABkcnMvZTJvRG9jLnhtbFBLBQYAAAAABgAGAFkBAAB3BQAAAAA=&#10;">
                <v:fill on="f" focussize="0,0"/>
                <v:stroke weight="1.5pt" color="#000000" joinstyle="round"/>
                <v:imagedata o:title=""/>
                <o:lock v:ext="edit" aspectratio="f"/>
              </v:line>
            </w:pict>
          </mc:Fallback>
        </mc:AlternateContent>
      </w:r>
      <w:r>
        <w:rPr>
          <w:rFonts w:hint="eastAsia" w:ascii="宋体" w:hAnsi="宋体" w:eastAsia="仿宋_GB2312" w:cs="仿宋_GB2312"/>
          <w:b/>
          <w:sz w:val="32"/>
          <w:szCs w:val="32"/>
        </w:rPr>
        <w:t>济南市钢城区城乡交通运输局        202</w:t>
      </w:r>
      <w:r>
        <w:rPr>
          <w:rFonts w:ascii="宋体" w:hAnsi="宋体" w:eastAsia="仿宋_GB2312" w:cs="仿宋_GB2312"/>
          <w:b/>
          <w:sz w:val="32"/>
          <w:szCs w:val="32"/>
        </w:rPr>
        <w:t>4</w:t>
      </w:r>
      <w:r>
        <w:rPr>
          <w:rFonts w:hint="eastAsia" w:ascii="宋体" w:hAnsi="宋体" w:eastAsia="仿宋_GB2312" w:cs="仿宋_GB2312"/>
          <w:b/>
          <w:sz w:val="32"/>
          <w:szCs w:val="32"/>
        </w:rPr>
        <w:t>年</w:t>
      </w:r>
      <w:r>
        <w:rPr>
          <w:rFonts w:ascii="宋体" w:hAnsi="宋体" w:eastAsia="仿宋_GB2312" w:cs="仿宋_GB2312"/>
          <w:b/>
          <w:sz w:val="32"/>
          <w:szCs w:val="32"/>
        </w:rPr>
        <w:t>4</w:t>
      </w:r>
      <w:r>
        <w:rPr>
          <w:rFonts w:hint="eastAsia" w:ascii="宋体" w:hAnsi="宋体" w:eastAsia="仿宋_GB2312" w:cs="仿宋_GB2312"/>
          <w:b/>
          <w:sz w:val="32"/>
          <w:szCs w:val="32"/>
        </w:rPr>
        <w:t>月</w:t>
      </w:r>
      <w:r>
        <w:rPr>
          <w:rFonts w:ascii="宋体" w:hAnsi="宋体" w:eastAsia="仿宋_GB2312" w:cs="仿宋_GB2312"/>
          <w:b/>
          <w:sz w:val="32"/>
          <w:szCs w:val="32"/>
        </w:rPr>
        <w:t>18</w:t>
      </w:r>
      <w:r>
        <w:rPr>
          <w:rFonts w:hint="eastAsia" w:ascii="宋体" w:hAnsi="宋体" w:eastAsia="仿宋_GB2312" w:cs="仿宋_GB2312"/>
          <w:b/>
          <w:sz w:val="32"/>
          <w:szCs w:val="32"/>
        </w:rPr>
        <w:t>日印发</w:t>
      </w:r>
    </w:p>
    <w:sectPr>
      <w:pgSz w:w="11906" w:h="16838"/>
      <w:pgMar w:top="1531" w:right="1531" w:bottom="1531" w:left="1531" w:header="851" w:footer="1418" w:gutter="0"/>
      <w:cols w:space="720" w:num="1"/>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252355-6D43-4AB9-8E90-4E130548FA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7C992C8-79AC-4B08-A038-DA9A157BE1DD}"/>
  </w:font>
  <w:font w:name="方正仿宋简体">
    <w:altName w:val="微软雅黑"/>
    <w:panose1 w:val="03000509000000000000"/>
    <w:charset w:val="86"/>
    <w:family w:val="auto"/>
    <w:pitch w:val="default"/>
    <w:sig w:usb0="00000000" w:usb1="00000000" w:usb2="00000010" w:usb3="00000000" w:csb0="00040000" w:csb1="00000000"/>
    <w:embedRegular r:id="rId3" w:fontKey="{1E78DFDF-4115-4039-9AAA-BB0D19A7A63A}"/>
  </w:font>
  <w:font w:name="仿宋_GB2312">
    <w:panose1 w:val="02010609030101010101"/>
    <w:charset w:val="86"/>
    <w:family w:val="modern"/>
    <w:pitch w:val="default"/>
    <w:sig w:usb0="00000001" w:usb1="080E0000" w:usb2="00000000" w:usb3="00000000" w:csb0="00040000" w:csb1="00000000"/>
    <w:embedRegular r:id="rId4" w:fontKey="{013E839E-4198-46DD-B12F-826E43F63033}"/>
  </w:font>
  <w:font w:name="仿宋">
    <w:panose1 w:val="02010609060101010101"/>
    <w:charset w:val="86"/>
    <w:family w:val="modern"/>
    <w:pitch w:val="default"/>
    <w:sig w:usb0="800002BF" w:usb1="38CF7CFA" w:usb2="00000016" w:usb3="00000000" w:csb0="00040001" w:csb1="00000000"/>
    <w:embedRegular r:id="rId5" w:fontKey="{5D3EF16F-56ED-46EC-B245-DA9ADA3FF65F}"/>
  </w:font>
  <w:font w:name="楷体">
    <w:panose1 w:val="02010609060101010101"/>
    <w:charset w:val="86"/>
    <w:family w:val="modern"/>
    <w:pitch w:val="default"/>
    <w:sig w:usb0="800002BF" w:usb1="38CF7CFA" w:usb2="00000016" w:usb3="00000000" w:csb0="00040001" w:csb1="00000000"/>
    <w:embedRegular r:id="rId6" w:fontKey="{CAAF0183-A632-4F95-96E6-2A260F8EE133}"/>
  </w:font>
  <w:font w:name="楷体_GB2312">
    <w:panose1 w:val="02010609030101010101"/>
    <w:charset w:val="86"/>
    <w:family w:val="modern"/>
    <w:pitch w:val="default"/>
    <w:sig w:usb0="00000001" w:usb1="080E0000" w:usb2="00000000" w:usb3="00000000" w:csb0="00040000" w:csb1="00000000"/>
    <w:embedRegular r:id="rId7" w:fontKey="{E2429BD8-DFC1-4E27-8B0D-2D352A965E0C}"/>
  </w:font>
  <w:font w:name="新宋体">
    <w:panose1 w:val="02010609030101010101"/>
    <w:charset w:val="86"/>
    <w:family w:val="modern"/>
    <w:pitch w:val="default"/>
    <w:sig w:usb0="00000283" w:usb1="288F0000" w:usb2="00000006" w:usb3="00000000" w:csb0="00040001" w:csb1="00000000"/>
    <w:embedRegular r:id="rId8" w:fontKey="{0AEB2C2F-A3CC-47AC-A72A-07819BEE0A0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Fonts w:hint="eastAsia" w:ascii="宋体" w:hAnsi="宋体"/>
        <w:sz w:val="28"/>
        <w:szCs w:val="28"/>
      </w:rPr>
      <w:id w:val="-2052903570"/>
    </w:sdtPr>
    <w:sdtEndPr>
      <w:rPr>
        <w:rStyle w:val="8"/>
        <w:rFonts w:hint="eastAsia" w:ascii="宋体" w:hAnsi="宋体"/>
        <w:sz w:val="28"/>
        <w:szCs w:val="28"/>
      </w:rPr>
    </w:sdtEndPr>
    <w:sdtContent>
      <w:p>
        <w:pPr>
          <w:framePr w:wrap="around" w:vAnchor="text" w:hAnchor="margin" w:xAlign="outside" w:y="1"/>
          <w:rPr>
            <w:rStyle w:val="8"/>
            <w:rFonts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r>
          <w:rPr>
            <w:rStyle w:val="8"/>
            <w:rFonts w:hint="eastAsia" w:ascii="宋体" w:hAnsi="宋体"/>
            <w:sz w:val="28"/>
            <w:szCs w:val="28"/>
          </w:rPr>
          <w:t>—</w:t>
        </w:r>
      </w:p>
    </w:sdtContent>
  </w:sdt>
  <w:p>
    <w:pPr>
      <w:spacing w:line="183" w:lineRule="auto"/>
      <w:ind w:left="4130"/>
      <w:rPr>
        <w:rFonts w:ascii="宋体" w:hAnsi="宋体" w:eastAsia="宋体" w:cs="宋体"/>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Fonts w:hint="eastAsia" w:ascii="宋体" w:hAnsi="宋体"/>
        <w:sz w:val="28"/>
        <w:szCs w:val="28"/>
      </w:rPr>
      <w:id w:val="2003075330"/>
    </w:sdtPr>
    <w:sdtEndPr>
      <w:rPr>
        <w:rStyle w:val="8"/>
        <w:rFonts w:hint="eastAsia" w:ascii="宋体" w:hAnsi="宋体"/>
        <w:sz w:val="28"/>
        <w:szCs w:val="28"/>
      </w:rPr>
    </w:sdtEndPr>
    <w:sdtContent>
      <w:p>
        <w:pPr>
          <w:framePr w:wrap="around" w:vAnchor="text" w:hAnchor="margin" w:xAlign="outside" w:y="1"/>
          <w:rPr>
            <w:rStyle w:val="8"/>
            <w:rFonts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12</w:t>
        </w:r>
        <w:r>
          <w:rPr>
            <w:rStyle w:val="8"/>
            <w:rFonts w:ascii="宋体" w:hAnsi="宋体"/>
            <w:sz w:val="28"/>
            <w:szCs w:val="28"/>
          </w:rPr>
          <w:fldChar w:fldCharType="end"/>
        </w:r>
        <w:r>
          <w:rPr>
            <w:rStyle w:val="8"/>
            <w:rFonts w:ascii="宋体" w:hAnsi="宋体"/>
            <w:sz w:val="28"/>
            <w:szCs w:val="28"/>
          </w:rPr>
          <w:t xml:space="preserve"> </w:t>
        </w:r>
        <w:r>
          <w:rPr>
            <w:rStyle w:val="8"/>
            <w:rFonts w:hint="eastAsia" w:ascii="宋体" w:hAnsi="宋体"/>
            <w:sz w:val="28"/>
            <w:szCs w:val="28"/>
          </w:rPr>
          <w:t>—</w:t>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A046F"/>
    <w:multiLevelType w:val="singleLevel"/>
    <w:tmpl w:val="5ABA04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1"/>
  <w:bordersDoNotSurroundFooter w:val="1"/>
  <w:documentProtection w:enforcement="0"/>
  <w:defaultTabStop w:val="420"/>
  <w:drawingGridHorizontalSpacing w:val="105"/>
  <w:drawingGridVerticalSpacing w:val="143"/>
  <w:displayHorizontalDrawingGridEvery w:val="2"/>
  <w:displayVerticalDrawingGridEvery w:val="2"/>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E3M2MwYWUzZDgxZGJlMzBmYjA2YjFkZmNjMjRjYzAifQ=="/>
  </w:docVars>
  <w:rsids>
    <w:rsidRoot w:val="00AD5FF0"/>
    <w:rsid w:val="000317B7"/>
    <w:rsid w:val="00041CD7"/>
    <w:rsid w:val="00043087"/>
    <w:rsid w:val="00050CE9"/>
    <w:rsid w:val="000511BF"/>
    <w:rsid w:val="00070C2E"/>
    <w:rsid w:val="000A7FC0"/>
    <w:rsid w:val="00103174"/>
    <w:rsid w:val="00185765"/>
    <w:rsid w:val="001940DC"/>
    <w:rsid w:val="001A0EDD"/>
    <w:rsid w:val="001A6D0C"/>
    <w:rsid w:val="001C2DEB"/>
    <w:rsid w:val="001E3B87"/>
    <w:rsid w:val="00210830"/>
    <w:rsid w:val="00213FD7"/>
    <w:rsid w:val="00250F2F"/>
    <w:rsid w:val="00273AAA"/>
    <w:rsid w:val="00291AAC"/>
    <w:rsid w:val="002B2EB4"/>
    <w:rsid w:val="002E187A"/>
    <w:rsid w:val="00302EE0"/>
    <w:rsid w:val="00315F34"/>
    <w:rsid w:val="003213C3"/>
    <w:rsid w:val="00331D53"/>
    <w:rsid w:val="00336557"/>
    <w:rsid w:val="00354BA5"/>
    <w:rsid w:val="003A7CEE"/>
    <w:rsid w:val="003C2A1E"/>
    <w:rsid w:val="003D2F44"/>
    <w:rsid w:val="003D3E9B"/>
    <w:rsid w:val="004217B7"/>
    <w:rsid w:val="0043164D"/>
    <w:rsid w:val="00455449"/>
    <w:rsid w:val="004564AA"/>
    <w:rsid w:val="004B5750"/>
    <w:rsid w:val="004F5C3F"/>
    <w:rsid w:val="00501FB0"/>
    <w:rsid w:val="00503041"/>
    <w:rsid w:val="00510E93"/>
    <w:rsid w:val="00523AF1"/>
    <w:rsid w:val="00533E3F"/>
    <w:rsid w:val="00555A68"/>
    <w:rsid w:val="00562265"/>
    <w:rsid w:val="00584F95"/>
    <w:rsid w:val="005931EF"/>
    <w:rsid w:val="005C66C1"/>
    <w:rsid w:val="0061540D"/>
    <w:rsid w:val="00615977"/>
    <w:rsid w:val="00634CC4"/>
    <w:rsid w:val="00650C8C"/>
    <w:rsid w:val="00656E20"/>
    <w:rsid w:val="006C4F8E"/>
    <w:rsid w:val="006E783E"/>
    <w:rsid w:val="0071563B"/>
    <w:rsid w:val="007206DD"/>
    <w:rsid w:val="00741634"/>
    <w:rsid w:val="007547AE"/>
    <w:rsid w:val="00763BB6"/>
    <w:rsid w:val="00782A55"/>
    <w:rsid w:val="007B5DCF"/>
    <w:rsid w:val="00827AAA"/>
    <w:rsid w:val="0084146B"/>
    <w:rsid w:val="0084228F"/>
    <w:rsid w:val="00861F04"/>
    <w:rsid w:val="0088660D"/>
    <w:rsid w:val="008C1775"/>
    <w:rsid w:val="008E2B6B"/>
    <w:rsid w:val="009029EE"/>
    <w:rsid w:val="00914DAC"/>
    <w:rsid w:val="009875A6"/>
    <w:rsid w:val="009A310D"/>
    <w:rsid w:val="009A6340"/>
    <w:rsid w:val="009B1F41"/>
    <w:rsid w:val="009C4E04"/>
    <w:rsid w:val="009D722C"/>
    <w:rsid w:val="009F2139"/>
    <w:rsid w:val="00A05ED9"/>
    <w:rsid w:val="00A17FD5"/>
    <w:rsid w:val="00A50A69"/>
    <w:rsid w:val="00A61151"/>
    <w:rsid w:val="00A92835"/>
    <w:rsid w:val="00A97466"/>
    <w:rsid w:val="00AA0838"/>
    <w:rsid w:val="00AC6F64"/>
    <w:rsid w:val="00AD5FF0"/>
    <w:rsid w:val="00B07473"/>
    <w:rsid w:val="00B10755"/>
    <w:rsid w:val="00B10A83"/>
    <w:rsid w:val="00B7014C"/>
    <w:rsid w:val="00B7165B"/>
    <w:rsid w:val="00B92251"/>
    <w:rsid w:val="00B92F3B"/>
    <w:rsid w:val="00BB769B"/>
    <w:rsid w:val="00BD5638"/>
    <w:rsid w:val="00BE5453"/>
    <w:rsid w:val="00C1635A"/>
    <w:rsid w:val="00C214A0"/>
    <w:rsid w:val="00C21573"/>
    <w:rsid w:val="00C23272"/>
    <w:rsid w:val="00C63875"/>
    <w:rsid w:val="00C75EB6"/>
    <w:rsid w:val="00CC350F"/>
    <w:rsid w:val="00CF6EEB"/>
    <w:rsid w:val="00D6178D"/>
    <w:rsid w:val="00D6347E"/>
    <w:rsid w:val="00D764B0"/>
    <w:rsid w:val="00DA7C9F"/>
    <w:rsid w:val="00DB26EE"/>
    <w:rsid w:val="00DC366B"/>
    <w:rsid w:val="00E67005"/>
    <w:rsid w:val="00EA4AE3"/>
    <w:rsid w:val="00EC3083"/>
    <w:rsid w:val="00EC308A"/>
    <w:rsid w:val="00EC5489"/>
    <w:rsid w:val="00ED24A7"/>
    <w:rsid w:val="00EF140D"/>
    <w:rsid w:val="00EF5BA2"/>
    <w:rsid w:val="00F03745"/>
    <w:rsid w:val="00F12C5B"/>
    <w:rsid w:val="00F25BA6"/>
    <w:rsid w:val="00F316B3"/>
    <w:rsid w:val="00F35635"/>
    <w:rsid w:val="00F92E8F"/>
    <w:rsid w:val="00F965D6"/>
    <w:rsid w:val="00FE061A"/>
    <w:rsid w:val="00FE7FC2"/>
    <w:rsid w:val="011A24F4"/>
    <w:rsid w:val="04C74740"/>
    <w:rsid w:val="058A4943"/>
    <w:rsid w:val="058C7E64"/>
    <w:rsid w:val="06F3181D"/>
    <w:rsid w:val="08957680"/>
    <w:rsid w:val="097C3D4B"/>
    <w:rsid w:val="0B2B5A29"/>
    <w:rsid w:val="0B483629"/>
    <w:rsid w:val="0C6377B2"/>
    <w:rsid w:val="0D3A1F53"/>
    <w:rsid w:val="0E4806A0"/>
    <w:rsid w:val="0EE26D46"/>
    <w:rsid w:val="0F906217"/>
    <w:rsid w:val="0FC071EE"/>
    <w:rsid w:val="0FEB39D9"/>
    <w:rsid w:val="13806B2E"/>
    <w:rsid w:val="140E5EE8"/>
    <w:rsid w:val="141A782E"/>
    <w:rsid w:val="14305E5E"/>
    <w:rsid w:val="14432035"/>
    <w:rsid w:val="16117F11"/>
    <w:rsid w:val="1A2226ED"/>
    <w:rsid w:val="1A98475D"/>
    <w:rsid w:val="1E522E75"/>
    <w:rsid w:val="1E7E3C6A"/>
    <w:rsid w:val="1EEB57A3"/>
    <w:rsid w:val="1F100D66"/>
    <w:rsid w:val="1F1F544D"/>
    <w:rsid w:val="1F9415B5"/>
    <w:rsid w:val="20BD6CCC"/>
    <w:rsid w:val="22CA56D0"/>
    <w:rsid w:val="2593449F"/>
    <w:rsid w:val="266B71CA"/>
    <w:rsid w:val="27561C28"/>
    <w:rsid w:val="27A209C9"/>
    <w:rsid w:val="27D843EB"/>
    <w:rsid w:val="2BF82B7A"/>
    <w:rsid w:val="2C5A7AC4"/>
    <w:rsid w:val="2EBA6F40"/>
    <w:rsid w:val="2F164305"/>
    <w:rsid w:val="2F5179D3"/>
    <w:rsid w:val="2F8F3F29"/>
    <w:rsid w:val="303643A5"/>
    <w:rsid w:val="30B67293"/>
    <w:rsid w:val="31A87524"/>
    <w:rsid w:val="32063B11"/>
    <w:rsid w:val="325B4973"/>
    <w:rsid w:val="32DB1233"/>
    <w:rsid w:val="3344327C"/>
    <w:rsid w:val="35154ED0"/>
    <w:rsid w:val="35AD6EB7"/>
    <w:rsid w:val="378E0F6A"/>
    <w:rsid w:val="37CE75B8"/>
    <w:rsid w:val="382673F4"/>
    <w:rsid w:val="38A00F55"/>
    <w:rsid w:val="38A8605B"/>
    <w:rsid w:val="396B3311"/>
    <w:rsid w:val="3A102BB5"/>
    <w:rsid w:val="3A804B9A"/>
    <w:rsid w:val="3B223EA3"/>
    <w:rsid w:val="3B2E53B1"/>
    <w:rsid w:val="3B331C0C"/>
    <w:rsid w:val="3EA352FB"/>
    <w:rsid w:val="3F3441A5"/>
    <w:rsid w:val="3F4F38C9"/>
    <w:rsid w:val="404C539D"/>
    <w:rsid w:val="45955B08"/>
    <w:rsid w:val="48D32C81"/>
    <w:rsid w:val="498D169E"/>
    <w:rsid w:val="4A8E4430"/>
    <w:rsid w:val="4C3752D5"/>
    <w:rsid w:val="4D5C1497"/>
    <w:rsid w:val="4DBA61BD"/>
    <w:rsid w:val="4DF23BA9"/>
    <w:rsid w:val="4E7D7917"/>
    <w:rsid w:val="4F082F58"/>
    <w:rsid w:val="4F984D5C"/>
    <w:rsid w:val="4FA42C81"/>
    <w:rsid w:val="501C315F"/>
    <w:rsid w:val="51421433"/>
    <w:rsid w:val="514C0889"/>
    <w:rsid w:val="5167665C"/>
    <w:rsid w:val="51BF3DA2"/>
    <w:rsid w:val="522956BF"/>
    <w:rsid w:val="52426781"/>
    <w:rsid w:val="52B23907"/>
    <w:rsid w:val="52C82142"/>
    <w:rsid w:val="53B84F4D"/>
    <w:rsid w:val="55E95892"/>
    <w:rsid w:val="55F7298D"/>
    <w:rsid w:val="561A3D19"/>
    <w:rsid w:val="56701B0F"/>
    <w:rsid w:val="578A6C00"/>
    <w:rsid w:val="581D7A74"/>
    <w:rsid w:val="59926240"/>
    <w:rsid w:val="5A0740B4"/>
    <w:rsid w:val="5A851901"/>
    <w:rsid w:val="5AB81293"/>
    <w:rsid w:val="5AE34FA5"/>
    <w:rsid w:val="5B1E7D8B"/>
    <w:rsid w:val="5B4D241F"/>
    <w:rsid w:val="5C9A1613"/>
    <w:rsid w:val="5CC22998"/>
    <w:rsid w:val="5CCB3F43"/>
    <w:rsid w:val="5E0845E4"/>
    <w:rsid w:val="5E7A5C21"/>
    <w:rsid w:val="606533FF"/>
    <w:rsid w:val="63B53257"/>
    <w:rsid w:val="646A5DEF"/>
    <w:rsid w:val="646C600B"/>
    <w:rsid w:val="677F7A12"/>
    <w:rsid w:val="69EE301F"/>
    <w:rsid w:val="6A2B4273"/>
    <w:rsid w:val="6A3E2EB4"/>
    <w:rsid w:val="6A7F46BA"/>
    <w:rsid w:val="6AB53B3C"/>
    <w:rsid w:val="6BD526E8"/>
    <w:rsid w:val="6C022DB1"/>
    <w:rsid w:val="6C6A0E20"/>
    <w:rsid w:val="6E535B46"/>
    <w:rsid w:val="6E8B1787"/>
    <w:rsid w:val="721455EC"/>
    <w:rsid w:val="723B526F"/>
    <w:rsid w:val="75FE6CDF"/>
    <w:rsid w:val="76A21419"/>
    <w:rsid w:val="77CA50CB"/>
    <w:rsid w:val="78034139"/>
    <w:rsid w:val="796E5F2A"/>
    <w:rsid w:val="7B1A5202"/>
    <w:rsid w:val="7DA67DF8"/>
    <w:rsid w:val="7DBB57A7"/>
    <w:rsid w:val="7DE44A0D"/>
    <w:rsid w:val="7F453289"/>
    <w:rsid w:val="7F4F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qFormat/>
    <w:uiPriority w:val="0"/>
    <w:pPr>
      <w:ind w:left="100" w:leftChars="2500"/>
    </w:pPr>
  </w:style>
  <w:style w:type="paragraph" w:styleId="3">
    <w:name w:val="Balloon Text"/>
    <w:basedOn w:val="1"/>
    <w:link w:val="11"/>
    <w:autoRedefine/>
    <w:qFormat/>
    <w:uiPriority w:val="0"/>
    <w:rPr>
      <w:sz w:val="18"/>
      <w:szCs w:val="18"/>
    </w:rPr>
  </w:style>
  <w:style w:type="paragraph" w:styleId="4">
    <w:name w:val="footer"/>
    <w:basedOn w:val="1"/>
    <w:link w:val="14"/>
    <w:autoRedefine/>
    <w:qFormat/>
    <w:uiPriority w:val="99"/>
    <w:pPr>
      <w:tabs>
        <w:tab w:val="center" w:pos="4153"/>
        <w:tab w:val="right" w:pos="8306"/>
      </w:tabs>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jc w:val="center"/>
    </w:pPr>
    <w:rPr>
      <w:sz w:val="18"/>
      <w:szCs w:val="18"/>
    </w:rPr>
  </w:style>
  <w:style w:type="character" w:styleId="8">
    <w:name w:val="page number"/>
    <w:autoRedefine/>
    <w:qFormat/>
    <w:uiPriority w:val="99"/>
    <w:rPr>
      <w:rFonts w:cs="Times New Roman"/>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styleId="10">
    <w:name w:val="List Paragraph"/>
    <w:basedOn w:val="1"/>
    <w:autoRedefine/>
    <w:qFormat/>
    <w:uiPriority w:val="99"/>
    <w:pPr>
      <w:ind w:firstLine="420" w:firstLineChars="200"/>
    </w:pPr>
  </w:style>
  <w:style w:type="character" w:customStyle="1" w:styleId="11">
    <w:name w:val="批注框文本 字符"/>
    <w:basedOn w:val="7"/>
    <w:link w:val="3"/>
    <w:autoRedefine/>
    <w:qFormat/>
    <w:uiPriority w:val="0"/>
    <w:rPr>
      <w:rFonts w:eastAsia="Arial"/>
      <w:snapToGrid w:val="0"/>
      <w:color w:val="000000"/>
      <w:sz w:val="18"/>
      <w:szCs w:val="18"/>
    </w:rPr>
  </w:style>
  <w:style w:type="character" w:customStyle="1" w:styleId="12">
    <w:name w:val="日期 字符"/>
    <w:basedOn w:val="7"/>
    <w:link w:val="2"/>
    <w:autoRedefine/>
    <w:qFormat/>
    <w:uiPriority w:val="0"/>
    <w:rPr>
      <w:rFonts w:eastAsia="Arial"/>
      <w:snapToGrid w:val="0"/>
      <w:color w:val="000000"/>
      <w:sz w:val="21"/>
      <w:szCs w:val="21"/>
    </w:rPr>
  </w:style>
  <w:style w:type="character" w:customStyle="1" w:styleId="13">
    <w:name w:val="页眉 字符"/>
    <w:basedOn w:val="7"/>
    <w:link w:val="5"/>
    <w:autoRedefine/>
    <w:qFormat/>
    <w:uiPriority w:val="0"/>
    <w:rPr>
      <w:rFonts w:ascii="Arial" w:hAnsi="Arial" w:eastAsia="Arial" w:cs="Arial"/>
      <w:snapToGrid w:val="0"/>
      <w:color w:val="000000"/>
      <w:sz w:val="18"/>
      <w:szCs w:val="18"/>
    </w:rPr>
  </w:style>
  <w:style w:type="character" w:customStyle="1" w:styleId="14">
    <w:name w:val="页脚 字符"/>
    <w:basedOn w:val="7"/>
    <w:link w:val="4"/>
    <w:autoRedefine/>
    <w:qFormat/>
    <w:uiPriority w:val="99"/>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CA683-A920-41CD-9588-8011A78BB6C2}">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Pages>
  <Words>826</Words>
  <Characters>4713</Characters>
  <Lines>39</Lines>
  <Paragraphs>11</Paragraphs>
  <TotalTime>1</TotalTime>
  <ScaleCrop>false</ScaleCrop>
  <LinksUpToDate>false</LinksUpToDate>
  <CharactersWithSpaces>5528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2023-04-24T10:08:00Z</dcterms:created>
  <dc:creator>Kingsoft-PDF</dc:creator>
  <cp:lastModifiedBy>WPS_1463737611</cp:lastModifiedBy>
  <cp:lastPrinted>2024-04-16T02:36:00Z</cp:lastPrinted>
  <dcterms:modified xsi:type="dcterms:W3CDTF">2024-05-08T00:46:02Z</dcterms:modified>
  <dc:subject>pdfbuilder</dc:subject>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2023-04-24T10:08:54Z</vt:filetime>
  </property>
  <property fmtid="{D5CDD505-2E9C-101B-9397-08002B2CF9AE}" pid="4" name="UsrData">
    <vt:lpwstr>6445e4a00d38b70015ec39c4</vt:lpwstr>
  </property>
  <property fmtid="{D5CDD505-2E9C-101B-9397-08002B2CF9AE}" pid="5" name="KSOProductBuildVer">
    <vt:lpwstr>2052-12.1.0.16729</vt:lpwstr>
  </property>
  <property fmtid="{D5CDD505-2E9C-101B-9397-08002B2CF9AE}" pid="6" name="ICV">
    <vt:lpwstr>1F59C080AA7048BBB1BF5E79CA427FDF_13</vt:lpwstr>
  </property>
</Properties>
</file>