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方正小标宋简体" w:hAnsi="方正小标宋简体" w:eastAsia="方正小标宋简体" w:cs="方正小标宋简体"/>
          <w:sz w:val="44"/>
          <w:szCs w:val="44"/>
        </w:rPr>
      </w:pPr>
    </w:p>
    <w:p>
      <w:pPr>
        <w:spacing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济南市钢城区人民政府2022年政府信息</w:t>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公开工作年度报告</w:t>
      </w:r>
    </w:p>
    <w:p>
      <w:pPr>
        <w:spacing w:line="560" w:lineRule="exact"/>
        <w:jc w:val="center"/>
        <w:rPr>
          <w:rFonts w:ascii="方正小标宋简体" w:hAnsi="方正小标宋简体" w:eastAsia="方正小标宋简体" w:cs="方正小标宋简体"/>
          <w:sz w:val="44"/>
          <w:szCs w:val="44"/>
        </w:rPr>
      </w:pP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报告是根据《中华人民共和国政府信息公开条例》（国务院令第711号，以下简称《条例》）和《国务院办公厅政府信息与政务公开办公室关于印发中华人民共和国政府信息公开工作年度报告格式的通知》（国办公开办函〔2021〕30号）有关要求，编制并向社会公开。报告由总体情况、主动公开政府信息情况、收到和处理政府信息公开申请情况、政府信息公开行政复议和行政诉讼情况、存在的主要问题及改进情况及其他需要报告的事项等6部分组成。本年度报告所列数据统计期限自2022年1月1日起至2022年12月31日止。我区将在济南市钢城区人民政府门户网站（www.gangcheng.gov.cn）对本报告予以公布，如对本报告有疑问，请与济南市钢城区人民政府办公室联系（地址:济南市钢城区府前大街27号，邮政编码:271100，电话:0531-76967026）。</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一、总体情况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2022年，钢城区以习近平新时代中国特色社会主义思想为指导，始终坚持以人民为中心，推动政府决策和管理服务更加透明规范，为加快建设现代化高品质美丽钢城提供有力保障。</w:t>
      </w:r>
    </w:p>
    <w:p>
      <w:pPr>
        <w:numPr>
          <w:ilvl w:val="0"/>
          <w:numId w:val="1"/>
        </w:numPr>
        <w:spacing w:line="56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持续做好主动公开工作。</w:t>
      </w:r>
      <w:r>
        <w:rPr>
          <w:rFonts w:hint="eastAsia" w:ascii="仿宋_GB2312" w:hAnsi="仿宋_GB2312" w:eastAsia="仿宋_GB2312" w:cs="仿宋_GB2312"/>
          <w:sz w:val="32"/>
          <w:szCs w:val="32"/>
        </w:rPr>
        <w:t>坚持“以公开为常态，不公开为例外”的原则，全面落实政务公开工作要点，完善主动公开基本目录，最大限度挖掘可公开信息。2022年通过政府网站公开信息6350余条，其中政策文件25件、常务会议21次，采用图解、音视频等形式发布政策解读78篇、常务会议解读54篇，回应网站民声连线135条。制定“政府开放月”活动方案，指导各部门单位组织开展16场政府开放活动，进一步强化政民互动。</w:t>
      </w:r>
    </w:p>
    <w:p>
      <w:pPr>
        <w:rPr>
          <w:rFonts w:ascii="仿宋_GB2312" w:hAnsi="仿宋_GB2312" w:eastAsia="仿宋_GB2312" w:cs="仿宋_GB2312"/>
          <w:sz w:val="32"/>
          <w:szCs w:val="32"/>
        </w:rPr>
      </w:pPr>
      <w:r>
        <w:rPr>
          <w:rFonts w:hint="eastAsia" w:ascii="仿宋_GB2312" w:eastAsia="仿宋_GB2312"/>
          <w:sz w:val="32"/>
          <w:szCs w:val="32"/>
        </w:rPr>
        <w:drawing>
          <wp:inline distT="0" distB="0" distL="114300" distR="114300">
            <wp:extent cx="5271770" cy="2623185"/>
            <wp:effectExtent l="19050" t="19050" r="24130" b="2476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5" cstate="print"/>
                    <a:stretch>
                      <a:fillRect/>
                    </a:stretch>
                  </pic:blipFill>
                  <pic:spPr>
                    <a:xfrm>
                      <a:off x="0" y="0"/>
                      <a:ext cx="5271770" cy="2623185"/>
                    </a:xfrm>
                    <a:prstGeom prst="rect">
                      <a:avLst/>
                    </a:prstGeom>
                    <a:noFill/>
                    <a:ln>
                      <a:solidFill>
                        <a:schemeClr val="tx1"/>
                      </a:solidFill>
                    </a:ln>
                  </pic:spPr>
                </pic:pic>
              </a:graphicData>
            </a:graphic>
          </wp:inline>
        </w:drawing>
      </w:r>
    </w:p>
    <w:p>
      <w:pPr>
        <w:numPr>
          <w:ilvl w:val="0"/>
          <w:numId w:val="1"/>
        </w:numPr>
        <w:spacing w:line="56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依法依规做好依申请公开。</w:t>
      </w:r>
      <w:r>
        <w:rPr>
          <w:rFonts w:hint="eastAsia" w:ascii="仿宋_GB2312" w:hAnsi="仿宋_GB2312" w:eastAsia="仿宋_GB2312" w:cs="仿宋_GB2312"/>
          <w:sz w:val="32"/>
          <w:szCs w:val="32"/>
        </w:rPr>
        <w:t>进一步优化接收登记、协查办理、答复告知等办件流程。2022年全区新收政府信息公开申请26件，同比增长44%。申请内容主要涉及房屋拆迁安置、土地征收、区域规划等相关信息。</w:t>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29225" cy="1685925"/>
            <wp:effectExtent l="0" t="0" r="9525" b="952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numPr>
          <w:ilvl w:val="0"/>
          <w:numId w:val="1"/>
        </w:numPr>
        <w:spacing w:line="56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持续提升信息管理水平。</w:t>
      </w:r>
      <w:r>
        <w:rPr>
          <w:rFonts w:hint="eastAsia" w:ascii="仿宋_GB2312" w:hAnsi="仿宋_GB2312" w:eastAsia="仿宋_GB2312" w:cs="仿宋_GB2312"/>
          <w:sz w:val="32"/>
          <w:szCs w:val="32"/>
        </w:rPr>
        <w:t>一是进一步加强对拟公开文件的审核。严格要求各部门拟制文件时提供公开属性建议，没有明确公开属性或未说明不予公开理由的均予以退文。二是完善信息公开机制，加强多部门协调联动，进一步提升政府信息发布的准确性、全面性。三是通过“钢城区政府文件发布平台”集中公开规范性文件、区政府文件、区政府办公室文件及部门文件等，明确发文机构、文号、成文日期、有效性等要素，对规范性文件实行定期清理更新制度，方便公众获取相关信息。</w:t>
      </w:r>
    </w:p>
    <w:p>
      <w:pPr>
        <w:rPr>
          <w:rFonts w:ascii="仿宋_GB2312" w:eastAsia="仿宋_GB2312"/>
          <w:sz w:val="32"/>
          <w:szCs w:val="32"/>
        </w:rPr>
      </w:pPr>
      <w:r>
        <w:rPr>
          <w:rFonts w:hint="eastAsia" w:ascii="仿宋_GB2312" w:eastAsia="仿宋_GB2312"/>
          <w:sz w:val="32"/>
          <w:szCs w:val="32"/>
        </w:rPr>
        <w:drawing>
          <wp:inline distT="0" distB="0" distL="114300" distR="114300">
            <wp:extent cx="5251450" cy="2621915"/>
            <wp:effectExtent l="19050" t="19050" r="25400" b="2603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7" cstate="print"/>
                    <a:stretch>
                      <a:fillRect/>
                    </a:stretch>
                  </pic:blipFill>
                  <pic:spPr>
                    <a:xfrm>
                      <a:off x="0" y="0"/>
                      <a:ext cx="5251450" cy="2621915"/>
                    </a:xfrm>
                    <a:prstGeom prst="rect">
                      <a:avLst/>
                    </a:prstGeom>
                    <a:noFill/>
                    <a:ln>
                      <a:solidFill>
                        <a:schemeClr val="tx1"/>
                      </a:solidFill>
                    </a:ln>
                  </pic:spPr>
                </pic:pic>
              </a:graphicData>
            </a:graphic>
          </wp:inline>
        </w:drawing>
      </w:r>
    </w:p>
    <w:p>
      <w:pPr>
        <w:numPr>
          <w:ilvl w:val="0"/>
          <w:numId w:val="1"/>
        </w:numPr>
        <w:spacing w:line="56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持续加强政府信息公开平台建设。</w:t>
      </w:r>
      <w:r>
        <w:rPr>
          <w:rFonts w:hint="eastAsia" w:ascii="仿宋_GB2312" w:hAnsi="仿宋_GB2312" w:eastAsia="仿宋_GB2312" w:cs="仿宋_GB2312"/>
          <w:sz w:val="32"/>
          <w:szCs w:val="32"/>
        </w:rPr>
        <w:t>一是优化调整分类分级设置及栏目结构，建设16个专题页面，将财政信息、行政执法公示等重要信息进行专栏展示。二是季度通报政务新媒体更新情况，进一步加强信息发布的及时性和平台互动性。三是丰富政府信息公开形式，建设“政府公报”专栏，按季度发布公报，并进一步优化公报检索功能，同时在区政务服务大厅、区图书馆等公共场所设置纸质版公报赠阅点，并公开开放时间、地址及联系方式等，进一步提升政府信息公开服务便捷度。</w:t>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1786890"/>
            <wp:effectExtent l="19050" t="19050" r="21590" b="2286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8" cstate="print"/>
                    <a:srcRect/>
                    <a:stretch>
                      <a:fillRect/>
                    </a:stretch>
                  </pic:blipFill>
                  <pic:spPr>
                    <a:xfrm>
                      <a:off x="0" y="0"/>
                      <a:ext cx="5274310" cy="1787487"/>
                    </a:xfrm>
                    <a:prstGeom prst="rect">
                      <a:avLst/>
                    </a:prstGeom>
                    <a:noFill/>
                    <a:ln w="9525">
                      <a:solidFill>
                        <a:schemeClr val="tx1"/>
                      </a:solidFill>
                      <a:miter lim="800000"/>
                      <a:headEnd/>
                      <a:tailEnd/>
                    </a:ln>
                  </pic:spPr>
                </pic:pic>
              </a:graphicData>
            </a:graphic>
          </wp:inline>
        </w:drawing>
      </w:r>
    </w:p>
    <w:p>
      <w:pPr>
        <w:numPr>
          <w:ilvl w:val="0"/>
          <w:numId w:val="1"/>
        </w:numPr>
        <w:spacing w:line="56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持续抓好监督保障工作。</w:t>
      </w:r>
      <w:r>
        <w:rPr>
          <w:rFonts w:hint="eastAsia" w:ascii="仿宋_GB2312" w:hAnsi="仿宋_GB2312" w:eastAsia="仿宋_GB2312" w:cs="仿宋_GB2312"/>
          <w:sz w:val="32"/>
          <w:szCs w:val="32"/>
        </w:rPr>
        <w:t>一是制定钢城区学习培训计划，加大经费投入，组织开展区级政务公开培训2次，指导部门内部积极开展培训，提升工作人员业务能力。二是加强机构建设，强化督导考核，大数据管理科和信息科监督全区政务公开工作落实情况，制定《2022年济南市钢城区政务公开工作考评方案》，把政务公开纳入全区高质量发展综合绩效考核，推动各部门单位履职尽责。</w:t>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1938655"/>
            <wp:effectExtent l="19050" t="19050" r="21590" b="234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cstate="print"/>
                    <a:srcRect/>
                    <a:stretch>
                      <a:fillRect/>
                    </a:stretch>
                  </pic:blipFill>
                  <pic:spPr>
                    <a:xfrm>
                      <a:off x="0" y="0"/>
                      <a:ext cx="5274310" cy="1938911"/>
                    </a:xfrm>
                    <a:prstGeom prst="rect">
                      <a:avLst/>
                    </a:prstGeom>
                    <a:noFill/>
                    <a:ln w="9525">
                      <a:solidFill>
                        <a:schemeClr val="tx1"/>
                      </a:solidFill>
                      <a:miter lim="800000"/>
                      <a:headEnd/>
                      <a:tailEnd/>
                    </a:ln>
                  </pic:spPr>
                </pic:pic>
              </a:graphicData>
            </a:graphic>
          </wp:inline>
        </w:drawing>
      </w:r>
    </w:p>
    <w:p>
      <w:pPr>
        <w:numPr>
          <w:ilvl w:val="0"/>
          <w:numId w:val="2"/>
        </w:numPr>
        <w:spacing w:line="560" w:lineRule="exact"/>
        <w:ind w:firstLine="320" w:firstLineChars="100"/>
        <w:rPr>
          <w:rFonts w:ascii="黑体" w:hAnsi="黑体" w:eastAsia="黑体" w:cs="黑体"/>
          <w:sz w:val="32"/>
          <w:szCs w:val="32"/>
        </w:rPr>
      </w:pPr>
      <w:r>
        <w:rPr>
          <w:rFonts w:hint="eastAsia" w:ascii="黑体" w:hAnsi="黑体" w:eastAsia="黑体" w:cs="黑体"/>
          <w:sz w:val="32"/>
          <w:szCs w:val="32"/>
        </w:rPr>
        <w:t>主动公开政府信息情况</w:t>
      </w:r>
    </w:p>
    <w:tbl>
      <w:tblPr>
        <w:tblStyle w:val="5"/>
        <w:tblW w:w="5563" w:type="pct"/>
        <w:jc w:val="center"/>
        <w:tblLayout w:type="autofit"/>
        <w:tblCellMar>
          <w:top w:w="0" w:type="dxa"/>
          <w:left w:w="108" w:type="dxa"/>
          <w:bottom w:w="0" w:type="dxa"/>
          <w:right w:w="108" w:type="dxa"/>
        </w:tblCellMar>
      </w:tblPr>
      <w:tblGrid>
        <w:gridCol w:w="2368"/>
        <w:gridCol w:w="2369"/>
        <w:gridCol w:w="2371"/>
        <w:gridCol w:w="2374"/>
      </w:tblGrid>
      <w:tr>
        <w:tblPrEx>
          <w:tblCellMar>
            <w:top w:w="0" w:type="dxa"/>
            <w:left w:w="108" w:type="dxa"/>
            <w:bottom w:w="0" w:type="dxa"/>
            <w:right w:w="108" w:type="dxa"/>
          </w:tblCellMar>
        </w:tblPrEx>
        <w:trPr>
          <w:trHeight w:val="573" w:hRule="atLeast"/>
          <w:jc w:val="center"/>
        </w:trPr>
        <w:tc>
          <w:tcPr>
            <w:tcW w:w="5000" w:type="pct"/>
            <w:gridSpan w:val="4"/>
            <w:tcBorders>
              <w:top w:val="single" w:color="auto" w:sz="8" w:space="0"/>
              <w:left w:val="single" w:color="auto" w:sz="8" w:space="0"/>
              <w:bottom w:val="single" w:color="auto" w:sz="8" w:space="0"/>
              <w:right w:val="single" w:color="000000" w:sz="8" w:space="0"/>
            </w:tcBorders>
            <w:shd w:val="clear" w:color="auto" w:fill="BDD6EE" w:themeFill="accent1" w:themeFillTint="66"/>
            <w:vAlign w:val="center"/>
          </w:tcPr>
          <w:p>
            <w:pPr>
              <w:widowControl/>
              <w:spacing w:line="400" w:lineRule="exact"/>
              <w:jc w:val="center"/>
              <w:rPr>
                <w:rFonts w:ascii="仿宋_GB2312" w:hAnsi="黑体" w:eastAsia="仿宋_GB2312" w:cs="宋体"/>
                <w:color w:val="000000"/>
                <w:kern w:val="0"/>
                <w:sz w:val="28"/>
                <w:szCs w:val="28"/>
              </w:rPr>
            </w:pPr>
            <w:r>
              <w:rPr>
                <w:rFonts w:hint="eastAsia" w:ascii="仿宋_GB2312" w:hAnsi="黑体" w:eastAsia="仿宋_GB2312" w:cs="宋体"/>
                <w:color w:val="000000"/>
                <w:kern w:val="0"/>
                <w:sz w:val="28"/>
                <w:szCs w:val="28"/>
              </w:rPr>
              <w:t>第二十条第（一）项</w:t>
            </w:r>
          </w:p>
        </w:tc>
      </w:tr>
      <w:tr>
        <w:tblPrEx>
          <w:tblCellMar>
            <w:top w:w="0" w:type="dxa"/>
            <w:left w:w="108" w:type="dxa"/>
            <w:bottom w:w="0" w:type="dxa"/>
            <w:right w:w="108" w:type="dxa"/>
          </w:tblCellMar>
        </w:tblPrEx>
        <w:trPr>
          <w:trHeight w:val="573" w:hRule="atLeast"/>
          <w:jc w:val="center"/>
        </w:trPr>
        <w:tc>
          <w:tcPr>
            <w:tcW w:w="1249" w:type="pct"/>
            <w:tcBorders>
              <w:top w:val="nil"/>
              <w:left w:val="single" w:color="auto" w:sz="8" w:space="0"/>
              <w:bottom w:val="single" w:color="auto" w:sz="8" w:space="0"/>
              <w:right w:val="single" w:color="auto" w:sz="8" w:space="0"/>
            </w:tcBorders>
            <w:shd w:val="clear" w:color="auto" w:fill="auto"/>
            <w:vAlign w:val="center"/>
          </w:tcPr>
          <w:p>
            <w:pPr>
              <w:widowControl/>
              <w:spacing w:line="400" w:lineRule="exact"/>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信息内容</w:t>
            </w:r>
          </w:p>
        </w:tc>
        <w:tc>
          <w:tcPr>
            <w:tcW w:w="1249" w:type="pct"/>
            <w:tcBorders>
              <w:top w:val="nil"/>
              <w:left w:val="nil"/>
              <w:bottom w:val="single" w:color="auto" w:sz="8" w:space="0"/>
              <w:right w:val="single" w:color="auto" w:sz="8" w:space="0"/>
            </w:tcBorders>
            <w:shd w:val="clear" w:color="auto" w:fill="auto"/>
            <w:vAlign w:val="center"/>
          </w:tcPr>
          <w:p>
            <w:pPr>
              <w:widowControl/>
              <w:spacing w:line="400" w:lineRule="exact"/>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本年制发件数</w:t>
            </w:r>
          </w:p>
        </w:tc>
        <w:tc>
          <w:tcPr>
            <w:tcW w:w="1250" w:type="pct"/>
            <w:tcBorders>
              <w:top w:val="nil"/>
              <w:left w:val="nil"/>
              <w:bottom w:val="single" w:color="auto" w:sz="8" w:space="0"/>
              <w:right w:val="single" w:color="auto" w:sz="8" w:space="0"/>
            </w:tcBorders>
            <w:shd w:val="clear" w:color="auto" w:fill="auto"/>
            <w:vAlign w:val="center"/>
          </w:tcPr>
          <w:p>
            <w:pPr>
              <w:widowControl/>
              <w:spacing w:line="400" w:lineRule="exact"/>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本年废止件数</w:t>
            </w:r>
          </w:p>
        </w:tc>
        <w:tc>
          <w:tcPr>
            <w:tcW w:w="1251" w:type="pct"/>
            <w:tcBorders>
              <w:top w:val="nil"/>
              <w:left w:val="nil"/>
              <w:bottom w:val="single" w:color="auto" w:sz="8" w:space="0"/>
              <w:right w:val="single" w:color="auto" w:sz="8" w:space="0"/>
            </w:tcBorders>
            <w:shd w:val="clear" w:color="auto" w:fill="auto"/>
            <w:vAlign w:val="center"/>
          </w:tcPr>
          <w:p>
            <w:pPr>
              <w:widowControl/>
              <w:spacing w:line="400" w:lineRule="exact"/>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现行有效件数</w:t>
            </w:r>
          </w:p>
        </w:tc>
      </w:tr>
      <w:tr>
        <w:tblPrEx>
          <w:tblCellMar>
            <w:top w:w="0" w:type="dxa"/>
            <w:left w:w="108" w:type="dxa"/>
            <w:bottom w:w="0" w:type="dxa"/>
            <w:right w:w="108" w:type="dxa"/>
          </w:tblCellMar>
        </w:tblPrEx>
        <w:trPr>
          <w:trHeight w:val="573" w:hRule="atLeast"/>
          <w:jc w:val="center"/>
        </w:trPr>
        <w:tc>
          <w:tcPr>
            <w:tcW w:w="1249" w:type="pct"/>
            <w:tcBorders>
              <w:top w:val="nil"/>
              <w:left w:val="single" w:color="auto" w:sz="8" w:space="0"/>
              <w:bottom w:val="single" w:color="auto" w:sz="8" w:space="0"/>
              <w:right w:val="single" w:color="auto" w:sz="8" w:space="0"/>
            </w:tcBorders>
            <w:shd w:val="clear" w:color="auto" w:fill="auto"/>
            <w:vAlign w:val="center"/>
          </w:tcPr>
          <w:p>
            <w:pPr>
              <w:widowControl/>
              <w:spacing w:line="400" w:lineRule="exact"/>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规章</w:t>
            </w:r>
          </w:p>
        </w:tc>
        <w:tc>
          <w:tcPr>
            <w:tcW w:w="1249" w:type="pct"/>
            <w:tcBorders>
              <w:top w:val="nil"/>
              <w:left w:val="nil"/>
              <w:bottom w:val="single" w:color="auto" w:sz="8" w:space="0"/>
              <w:right w:val="single" w:color="auto" w:sz="8" w:space="0"/>
            </w:tcBorders>
            <w:shd w:val="clear" w:color="auto" w:fill="auto"/>
            <w:vAlign w:val="center"/>
          </w:tcPr>
          <w:p>
            <w:pPr>
              <w:widowControl/>
              <w:spacing w:line="400" w:lineRule="exact"/>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0</w:t>
            </w:r>
          </w:p>
        </w:tc>
        <w:tc>
          <w:tcPr>
            <w:tcW w:w="1250" w:type="pct"/>
            <w:tcBorders>
              <w:top w:val="nil"/>
              <w:left w:val="nil"/>
              <w:bottom w:val="single" w:color="auto" w:sz="8" w:space="0"/>
              <w:right w:val="single" w:color="auto" w:sz="8" w:space="0"/>
            </w:tcBorders>
            <w:shd w:val="clear" w:color="auto" w:fill="auto"/>
            <w:vAlign w:val="center"/>
          </w:tcPr>
          <w:p>
            <w:pPr>
              <w:widowControl/>
              <w:spacing w:line="400" w:lineRule="exact"/>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0</w:t>
            </w:r>
          </w:p>
        </w:tc>
        <w:tc>
          <w:tcPr>
            <w:tcW w:w="1251" w:type="pct"/>
            <w:tcBorders>
              <w:top w:val="nil"/>
              <w:left w:val="nil"/>
              <w:bottom w:val="single" w:color="auto" w:sz="8" w:space="0"/>
              <w:right w:val="single" w:color="auto" w:sz="8" w:space="0"/>
            </w:tcBorders>
            <w:shd w:val="clear" w:color="auto" w:fill="auto"/>
            <w:vAlign w:val="center"/>
          </w:tcPr>
          <w:p>
            <w:pPr>
              <w:widowControl/>
              <w:spacing w:line="400" w:lineRule="exact"/>
              <w:jc w:val="center"/>
              <w:rPr>
                <w:rFonts w:ascii="仿宋_GB2312" w:hAnsi="Calibri" w:eastAsia="仿宋_GB2312" w:cs="Calibri"/>
                <w:color w:val="000000"/>
                <w:kern w:val="0"/>
                <w:sz w:val="28"/>
                <w:szCs w:val="28"/>
              </w:rPr>
            </w:pPr>
            <w:r>
              <w:rPr>
                <w:rFonts w:hint="eastAsia" w:ascii="仿宋_GB2312" w:hAnsi="Calibri" w:eastAsia="仿宋_GB2312" w:cs="Calibri"/>
                <w:color w:val="000000"/>
                <w:kern w:val="0"/>
                <w:sz w:val="28"/>
                <w:szCs w:val="28"/>
              </w:rPr>
              <w:t>0</w:t>
            </w:r>
          </w:p>
        </w:tc>
      </w:tr>
      <w:tr>
        <w:tblPrEx>
          <w:tblCellMar>
            <w:top w:w="0" w:type="dxa"/>
            <w:left w:w="108" w:type="dxa"/>
            <w:bottom w:w="0" w:type="dxa"/>
            <w:right w:w="108" w:type="dxa"/>
          </w:tblCellMar>
        </w:tblPrEx>
        <w:trPr>
          <w:trHeight w:val="573" w:hRule="atLeast"/>
          <w:jc w:val="center"/>
        </w:trPr>
        <w:tc>
          <w:tcPr>
            <w:tcW w:w="1249" w:type="pct"/>
            <w:tcBorders>
              <w:top w:val="nil"/>
              <w:left w:val="single" w:color="auto" w:sz="8" w:space="0"/>
              <w:bottom w:val="single" w:color="auto" w:sz="8" w:space="0"/>
              <w:right w:val="single" w:color="auto" w:sz="8" w:space="0"/>
            </w:tcBorders>
            <w:shd w:val="clear" w:color="auto" w:fill="auto"/>
            <w:vAlign w:val="center"/>
          </w:tcPr>
          <w:p>
            <w:pPr>
              <w:widowControl/>
              <w:spacing w:line="400" w:lineRule="exact"/>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行政规范性文件</w:t>
            </w:r>
          </w:p>
        </w:tc>
        <w:tc>
          <w:tcPr>
            <w:tcW w:w="1249" w:type="pct"/>
            <w:tcBorders>
              <w:top w:val="nil"/>
              <w:left w:val="nil"/>
              <w:bottom w:val="single" w:color="auto" w:sz="8" w:space="0"/>
              <w:right w:val="single" w:color="auto" w:sz="8" w:space="0"/>
            </w:tcBorders>
            <w:shd w:val="clear" w:color="auto" w:fill="auto"/>
            <w:vAlign w:val="center"/>
          </w:tcPr>
          <w:p>
            <w:pPr>
              <w:widowControl/>
              <w:spacing w:line="400" w:lineRule="exact"/>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0</w:t>
            </w:r>
          </w:p>
        </w:tc>
        <w:tc>
          <w:tcPr>
            <w:tcW w:w="1250" w:type="pct"/>
            <w:tcBorders>
              <w:top w:val="nil"/>
              <w:left w:val="nil"/>
              <w:bottom w:val="single" w:color="auto" w:sz="8" w:space="0"/>
              <w:right w:val="single" w:color="auto" w:sz="8" w:space="0"/>
            </w:tcBorders>
            <w:shd w:val="clear" w:color="auto" w:fill="auto"/>
            <w:vAlign w:val="center"/>
          </w:tcPr>
          <w:p>
            <w:pPr>
              <w:widowControl/>
              <w:spacing w:line="400" w:lineRule="exact"/>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1</w:t>
            </w:r>
          </w:p>
        </w:tc>
        <w:tc>
          <w:tcPr>
            <w:tcW w:w="1251" w:type="pct"/>
            <w:tcBorders>
              <w:top w:val="nil"/>
              <w:left w:val="nil"/>
              <w:bottom w:val="single" w:color="auto" w:sz="8" w:space="0"/>
              <w:right w:val="single" w:color="auto" w:sz="8" w:space="0"/>
            </w:tcBorders>
            <w:shd w:val="clear" w:color="auto" w:fill="auto"/>
            <w:vAlign w:val="center"/>
          </w:tcPr>
          <w:p>
            <w:pPr>
              <w:widowControl/>
              <w:spacing w:line="400" w:lineRule="exact"/>
              <w:jc w:val="center"/>
              <w:rPr>
                <w:rFonts w:ascii="仿宋_GB2312" w:hAnsi="Calibri" w:eastAsia="仿宋_GB2312" w:cs="Calibri"/>
                <w:color w:val="000000"/>
                <w:kern w:val="0"/>
                <w:sz w:val="28"/>
                <w:szCs w:val="28"/>
              </w:rPr>
            </w:pPr>
            <w:r>
              <w:rPr>
                <w:rFonts w:hint="eastAsia" w:ascii="仿宋_GB2312" w:hAnsi="Calibri" w:eastAsia="仿宋_GB2312" w:cs="Calibri"/>
                <w:color w:val="000000"/>
                <w:kern w:val="0"/>
                <w:sz w:val="28"/>
                <w:szCs w:val="28"/>
              </w:rPr>
              <w:t>2</w:t>
            </w:r>
          </w:p>
        </w:tc>
      </w:tr>
      <w:tr>
        <w:tblPrEx>
          <w:tblCellMar>
            <w:top w:w="0" w:type="dxa"/>
            <w:left w:w="108" w:type="dxa"/>
            <w:bottom w:w="0" w:type="dxa"/>
            <w:right w:w="108" w:type="dxa"/>
          </w:tblCellMar>
        </w:tblPrEx>
        <w:trPr>
          <w:trHeight w:val="573" w:hRule="atLeast"/>
          <w:jc w:val="center"/>
        </w:trPr>
        <w:tc>
          <w:tcPr>
            <w:tcW w:w="5000" w:type="pct"/>
            <w:gridSpan w:val="4"/>
            <w:tcBorders>
              <w:top w:val="single" w:color="auto" w:sz="8" w:space="0"/>
              <w:left w:val="single" w:color="auto" w:sz="8" w:space="0"/>
              <w:bottom w:val="single" w:color="auto" w:sz="8" w:space="0"/>
              <w:right w:val="single" w:color="000000" w:sz="8" w:space="0"/>
            </w:tcBorders>
            <w:shd w:val="clear" w:color="000000" w:fill="C6D9F1"/>
            <w:vAlign w:val="center"/>
          </w:tcPr>
          <w:p>
            <w:pPr>
              <w:widowControl/>
              <w:spacing w:line="400" w:lineRule="exact"/>
              <w:jc w:val="center"/>
              <w:rPr>
                <w:rFonts w:ascii="仿宋_GB2312" w:hAnsi="黑体" w:eastAsia="仿宋_GB2312" w:cs="宋体"/>
                <w:color w:val="000000"/>
                <w:kern w:val="0"/>
                <w:sz w:val="28"/>
                <w:szCs w:val="28"/>
              </w:rPr>
            </w:pPr>
            <w:r>
              <w:rPr>
                <w:rFonts w:hint="eastAsia" w:ascii="仿宋_GB2312" w:hAnsi="黑体" w:eastAsia="仿宋_GB2312" w:cs="宋体"/>
                <w:color w:val="000000"/>
                <w:kern w:val="0"/>
                <w:sz w:val="28"/>
                <w:szCs w:val="28"/>
              </w:rPr>
              <w:t>第二十条第（五）项</w:t>
            </w:r>
          </w:p>
        </w:tc>
      </w:tr>
      <w:tr>
        <w:tblPrEx>
          <w:tblCellMar>
            <w:top w:w="0" w:type="dxa"/>
            <w:left w:w="108" w:type="dxa"/>
            <w:bottom w:w="0" w:type="dxa"/>
            <w:right w:w="108" w:type="dxa"/>
          </w:tblCellMar>
        </w:tblPrEx>
        <w:trPr>
          <w:trHeight w:val="573" w:hRule="atLeast"/>
          <w:jc w:val="center"/>
        </w:trPr>
        <w:tc>
          <w:tcPr>
            <w:tcW w:w="1249" w:type="pct"/>
            <w:tcBorders>
              <w:top w:val="nil"/>
              <w:left w:val="single" w:color="auto" w:sz="8" w:space="0"/>
              <w:bottom w:val="single" w:color="auto" w:sz="8" w:space="0"/>
              <w:right w:val="single" w:color="auto" w:sz="8" w:space="0"/>
            </w:tcBorders>
            <w:shd w:val="clear" w:color="auto" w:fill="auto"/>
            <w:vAlign w:val="center"/>
          </w:tcPr>
          <w:p>
            <w:pPr>
              <w:widowControl/>
              <w:spacing w:line="400" w:lineRule="exact"/>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信息内容</w:t>
            </w:r>
          </w:p>
        </w:tc>
        <w:tc>
          <w:tcPr>
            <w:tcW w:w="3751" w:type="pct"/>
            <w:gridSpan w:val="3"/>
            <w:tcBorders>
              <w:top w:val="single" w:color="auto" w:sz="8" w:space="0"/>
              <w:left w:val="nil"/>
              <w:bottom w:val="single" w:color="auto" w:sz="8" w:space="0"/>
              <w:right w:val="single" w:color="000000" w:sz="8" w:space="0"/>
            </w:tcBorders>
            <w:shd w:val="clear" w:color="auto" w:fill="auto"/>
            <w:vAlign w:val="center"/>
          </w:tcPr>
          <w:p>
            <w:pPr>
              <w:widowControl/>
              <w:spacing w:line="400" w:lineRule="exact"/>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本年处理决定数量</w:t>
            </w:r>
          </w:p>
        </w:tc>
      </w:tr>
      <w:tr>
        <w:tblPrEx>
          <w:tblCellMar>
            <w:top w:w="0" w:type="dxa"/>
            <w:left w:w="108" w:type="dxa"/>
            <w:bottom w:w="0" w:type="dxa"/>
            <w:right w:w="108" w:type="dxa"/>
          </w:tblCellMar>
        </w:tblPrEx>
        <w:trPr>
          <w:trHeight w:val="573" w:hRule="atLeast"/>
          <w:jc w:val="center"/>
        </w:trPr>
        <w:tc>
          <w:tcPr>
            <w:tcW w:w="1249" w:type="pct"/>
            <w:tcBorders>
              <w:top w:val="nil"/>
              <w:left w:val="single" w:color="auto" w:sz="8" w:space="0"/>
              <w:bottom w:val="single" w:color="auto" w:sz="8" w:space="0"/>
              <w:right w:val="single" w:color="auto" w:sz="8" w:space="0"/>
            </w:tcBorders>
            <w:shd w:val="clear" w:color="auto" w:fill="auto"/>
            <w:vAlign w:val="center"/>
          </w:tcPr>
          <w:p>
            <w:pPr>
              <w:widowControl/>
              <w:spacing w:line="400" w:lineRule="exact"/>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行政许可</w:t>
            </w:r>
          </w:p>
        </w:tc>
        <w:tc>
          <w:tcPr>
            <w:tcW w:w="3751" w:type="pct"/>
            <w:gridSpan w:val="3"/>
            <w:tcBorders>
              <w:top w:val="single" w:color="auto" w:sz="8" w:space="0"/>
              <w:left w:val="nil"/>
              <w:bottom w:val="single" w:color="auto" w:sz="8" w:space="0"/>
              <w:right w:val="single" w:color="000000" w:sz="8" w:space="0"/>
            </w:tcBorders>
            <w:shd w:val="clear" w:color="auto" w:fill="auto"/>
            <w:vAlign w:val="center"/>
          </w:tcPr>
          <w:p>
            <w:pPr>
              <w:widowControl/>
              <w:spacing w:line="400" w:lineRule="exact"/>
              <w:jc w:val="center"/>
              <w:rPr>
                <w:rFonts w:ascii="仿宋_GB2312" w:hAnsi="Calibri" w:eastAsia="仿宋_GB2312" w:cs="Calibri"/>
                <w:color w:val="000000"/>
                <w:kern w:val="0"/>
                <w:sz w:val="28"/>
                <w:szCs w:val="28"/>
              </w:rPr>
            </w:pPr>
            <w:r>
              <w:rPr>
                <w:rFonts w:hint="eastAsia" w:ascii="仿宋_GB2312" w:hAnsi="Calibri" w:eastAsia="仿宋_GB2312" w:cs="Calibri"/>
                <w:color w:val="000000"/>
                <w:kern w:val="0"/>
                <w:sz w:val="28"/>
                <w:szCs w:val="28"/>
              </w:rPr>
              <w:t>8256</w:t>
            </w:r>
          </w:p>
        </w:tc>
      </w:tr>
      <w:tr>
        <w:tblPrEx>
          <w:tblCellMar>
            <w:top w:w="0" w:type="dxa"/>
            <w:left w:w="108" w:type="dxa"/>
            <w:bottom w:w="0" w:type="dxa"/>
            <w:right w:w="108" w:type="dxa"/>
          </w:tblCellMar>
        </w:tblPrEx>
        <w:trPr>
          <w:trHeight w:val="573" w:hRule="atLeast"/>
          <w:jc w:val="center"/>
        </w:trPr>
        <w:tc>
          <w:tcPr>
            <w:tcW w:w="5000" w:type="pct"/>
            <w:gridSpan w:val="4"/>
            <w:tcBorders>
              <w:top w:val="single" w:color="auto" w:sz="8" w:space="0"/>
              <w:left w:val="single" w:color="auto" w:sz="8" w:space="0"/>
              <w:bottom w:val="single" w:color="auto" w:sz="8" w:space="0"/>
              <w:right w:val="single" w:color="000000" w:sz="8" w:space="0"/>
            </w:tcBorders>
            <w:shd w:val="clear" w:color="000000" w:fill="C6D9F1"/>
            <w:vAlign w:val="center"/>
          </w:tcPr>
          <w:p>
            <w:pPr>
              <w:widowControl/>
              <w:spacing w:line="400" w:lineRule="exact"/>
              <w:jc w:val="center"/>
              <w:rPr>
                <w:rFonts w:ascii="仿宋_GB2312" w:hAnsi="黑体" w:eastAsia="仿宋_GB2312" w:cs="宋体"/>
                <w:color w:val="000000"/>
                <w:kern w:val="0"/>
                <w:sz w:val="28"/>
                <w:szCs w:val="28"/>
              </w:rPr>
            </w:pPr>
            <w:r>
              <w:rPr>
                <w:rFonts w:hint="eastAsia" w:ascii="仿宋_GB2312" w:hAnsi="黑体" w:eastAsia="仿宋_GB2312" w:cs="宋体"/>
                <w:color w:val="000000"/>
                <w:kern w:val="0"/>
                <w:sz w:val="28"/>
                <w:szCs w:val="28"/>
              </w:rPr>
              <w:t>第二十条第（六）项</w:t>
            </w:r>
          </w:p>
        </w:tc>
      </w:tr>
      <w:tr>
        <w:tblPrEx>
          <w:tblCellMar>
            <w:top w:w="0" w:type="dxa"/>
            <w:left w:w="108" w:type="dxa"/>
            <w:bottom w:w="0" w:type="dxa"/>
            <w:right w:w="108" w:type="dxa"/>
          </w:tblCellMar>
        </w:tblPrEx>
        <w:trPr>
          <w:trHeight w:val="573" w:hRule="atLeast"/>
          <w:jc w:val="center"/>
        </w:trPr>
        <w:tc>
          <w:tcPr>
            <w:tcW w:w="1249" w:type="pct"/>
            <w:tcBorders>
              <w:top w:val="nil"/>
              <w:left w:val="single" w:color="auto" w:sz="8" w:space="0"/>
              <w:bottom w:val="single" w:color="auto" w:sz="8" w:space="0"/>
              <w:right w:val="single" w:color="auto" w:sz="8" w:space="0"/>
            </w:tcBorders>
            <w:shd w:val="clear" w:color="auto" w:fill="auto"/>
            <w:vAlign w:val="center"/>
          </w:tcPr>
          <w:p>
            <w:pPr>
              <w:widowControl/>
              <w:spacing w:line="400" w:lineRule="exact"/>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信息内容</w:t>
            </w:r>
          </w:p>
        </w:tc>
        <w:tc>
          <w:tcPr>
            <w:tcW w:w="3751" w:type="pct"/>
            <w:gridSpan w:val="3"/>
            <w:tcBorders>
              <w:top w:val="single" w:color="auto" w:sz="8" w:space="0"/>
              <w:left w:val="nil"/>
              <w:bottom w:val="single" w:color="auto" w:sz="8" w:space="0"/>
              <w:right w:val="single" w:color="000000" w:sz="8" w:space="0"/>
            </w:tcBorders>
            <w:shd w:val="clear" w:color="auto" w:fill="auto"/>
            <w:vAlign w:val="center"/>
          </w:tcPr>
          <w:p>
            <w:pPr>
              <w:widowControl/>
              <w:spacing w:line="400" w:lineRule="exact"/>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本年处理决定数量</w:t>
            </w:r>
          </w:p>
        </w:tc>
      </w:tr>
      <w:tr>
        <w:tblPrEx>
          <w:tblCellMar>
            <w:top w:w="0" w:type="dxa"/>
            <w:left w:w="108" w:type="dxa"/>
            <w:bottom w:w="0" w:type="dxa"/>
            <w:right w:w="108" w:type="dxa"/>
          </w:tblCellMar>
        </w:tblPrEx>
        <w:trPr>
          <w:trHeight w:val="573" w:hRule="atLeast"/>
          <w:jc w:val="center"/>
        </w:trPr>
        <w:tc>
          <w:tcPr>
            <w:tcW w:w="1249" w:type="pct"/>
            <w:tcBorders>
              <w:top w:val="nil"/>
              <w:left w:val="single" w:color="auto" w:sz="8" w:space="0"/>
              <w:bottom w:val="single" w:color="auto" w:sz="8" w:space="0"/>
              <w:right w:val="single" w:color="auto" w:sz="8" w:space="0"/>
            </w:tcBorders>
            <w:shd w:val="clear" w:color="auto" w:fill="auto"/>
            <w:vAlign w:val="center"/>
          </w:tcPr>
          <w:p>
            <w:pPr>
              <w:widowControl/>
              <w:spacing w:line="400" w:lineRule="exact"/>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行政处罚</w:t>
            </w:r>
          </w:p>
        </w:tc>
        <w:tc>
          <w:tcPr>
            <w:tcW w:w="3751" w:type="pct"/>
            <w:gridSpan w:val="3"/>
            <w:tcBorders>
              <w:top w:val="single" w:color="auto" w:sz="8" w:space="0"/>
              <w:left w:val="nil"/>
              <w:bottom w:val="single" w:color="auto" w:sz="8" w:space="0"/>
              <w:right w:val="single" w:color="000000" w:sz="8" w:space="0"/>
            </w:tcBorders>
            <w:shd w:val="clear" w:color="auto" w:fill="auto"/>
            <w:vAlign w:val="center"/>
          </w:tcPr>
          <w:p>
            <w:pPr>
              <w:widowControl/>
              <w:spacing w:line="400" w:lineRule="exact"/>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689</w:t>
            </w:r>
          </w:p>
        </w:tc>
      </w:tr>
      <w:tr>
        <w:tblPrEx>
          <w:tblCellMar>
            <w:top w:w="0" w:type="dxa"/>
            <w:left w:w="108" w:type="dxa"/>
            <w:bottom w:w="0" w:type="dxa"/>
            <w:right w:w="108" w:type="dxa"/>
          </w:tblCellMar>
        </w:tblPrEx>
        <w:trPr>
          <w:trHeight w:val="573" w:hRule="atLeast"/>
          <w:jc w:val="center"/>
        </w:trPr>
        <w:tc>
          <w:tcPr>
            <w:tcW w:w="1249" w:type="pct"/>
            <w:tcBorders>
              <w:top w:val="nil"/>
              <w:left w:val="single" w:color="auto" w:sz="8" w:space="0"/>
              <w:bottom w:val="single" w:color="auto" w:sz="8" w:space="0"/>
              <w:right w:val="single" w:color="auto" w:sz="8" w:space="0"/>
            </w:tcBorders>
            <w:shd w:val="clear" w:color="auto" w:fill="auto"/>
            <w:vAlign w:val="center"/>
          </w:tcPr>
          <w:p>
            <w:pPr>
              <w:widowControl/>
              <w:spacing w:line="400" w:lineRule="exact"/>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行政强制</w:t>
            </w:r>
          </w:p>
        </w:tc>
        <w:tc>
          <w:tcPr>
            <w:tcW w:w="3751" w:type="pct"/>
            <w:gridSpan w:val="3"/>
            <w:tcBorders>
              <w:top w:val="single" w:color="auto" w:sz="8" w:space="0"/>
              <w:left w:val="nil"/>
              <w:bottom w:val="single" w:color="auto" w:sz="8" w:space="0"/>
              <w:right w:val="single" w:color="000000" w:sz="8" w:space="0"/>
            </w:tcBorders>
            <w:shd w:val="clear" w:color="auto" w:fill="auto"/>
            <w:vAlign w:val="center"/>
          </w:tcPr>
          <w:p>
            <w:pPr>
              <w:widowControl/>
              <w:spacing w:line="400" w:lineRule="exact"/>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35</w:t>
            </w:r>
          </w:p>
        </w:tc>
      </w:tr>
      <w:tr>
        <w:tblPrEx>
          <w:tblCellMar>
            <w:top w:w="0" w:type="dxa"/>
            <w:left w:w="108" w:type="dxa"/>
            <w:bottom w:w="0" w:type="dxa"/>
            <w:right w:w="108" w:type="dxa"/>
          </w:tblCellMar>
        </w:tblPrEx>
        <w:trPr>
          <w:trHeight w:val="573" w:hRule="atLeast"/>
          <w:jc w:val="center"/>
        </w:trPr>
        <w:tc>
          <w:tcPr>
            <w:tcW w:w="5000" w:type="pct"/>
            <w:gridSpan w:val="4"/>
            <w:tcBorders>
              <w:top w:val="single" w:color="auto" w:sz="8" w:space="0"/>
              <w:left w:val="single" w:color="auto" w:sz="8" w:space="0"/>
              <w:bottom w:val="single" w:color="auto" w:sz="8" w:space="0"/>
              <w:right w:val="single" w:color="000000" w:sz="8" w:space="0"/>
            </w:tcBorders>
            <w:shd w:val="clear" w:color="000000" w:fill="C6D9F1"/>
            <w:vAlign w:val="center"/>
          </w:tcPr>
          <w:p>
            <w:pPr>
              <w:widowControl/>
              <w:spacing w:line="400" w:lineRule="exact"/>
              <w:jc w:val="center"/>
              <w:rPr>
                <w:rFonts w:ascii="仿宋_GB2312" w:hAnsi="黑体" w:eastAsia="仿宋_GB2312" w:cs="宋体"/>
                <w:color w:val="000000"/>
                <w:kern w:val="0"/>
                <w:sz w:val="28"/>
                <w:szCs w:val="28"/>
              </w:rPr>
            </w:pPr>
            <w:r>
              <w:rPr>
                <w:rFonts w:hint="eastAsia" w:ascii="仿宋_GB2312" w:hAnsi="黑体" w:eastAsia="仿宋_GB2312" w:cs="宋体"/>
                <w:color w:val="000000"/>
                <w:kern w:val="0"/>
                <w:sz w:val="28"/>
                <w:szCs w:val="28"/>
              </w:rPr>
              <w:t>第二十条第（八）项</w:t>
            </w:r>
          </w:p>
        </w:tc>
      </w:tr>
      <w:tr>
        <w:tblPrEx>
          <w:tblCellMar>
            <w:top w:w="0" w:type="dxa"/>
            <w:left w:w="108" w:type="dxa"/>
            <w:bottom w:w="0" w:type="dxa"/>
            <w:right w:w="108" w:type="dxa"/>
          </w:tblCellMar>
        </w:tblPrEx>
        <w:trPr>
          <w:trHeight w:val="573" w:hRule="atLeast"/>
          <w:jc w:val="center"/>
        </w:trPr>
        <w:tc>
          <w:tcPr>
            <w:tcW w:w="1249" w:type="pct"/>
            <w:tcBorders>
              <w:top w:val="nil"/>
              <w:left w:val="single" w:color="auto" w:sz="8" w:space="0"/>
              <w:bottom w:val="single" w:color="auto" w:sz="8" w:space="0"/>
              <w:right w:val="single" w:color="auto" w:sz="8" w:space="0"/>
            </w:tcBorders>
            <w:shd w:val="clear" w:color="auto" w:fill="auto"/>
            <w:vAlign w:val="center"/>
          </w:tcPr>
          <w:p>
            <w:pPr>
              <w:widowControl/>
              <w:spacing w:line="400" w:lineRule="exact"/>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信息内容</w:t>
            </w:r>
          </w:p>
        </w:tc>
        <w:tc>
          <w:tcPr>
            <w:tcW w:w="3751" w:type="pct"/>
            <w:gridSpan w:val="3"/>
            <w:tcBorders>
              <w:top w:val="single" w:color="auto" w:sz="8" w:space="0"/>
              <w:left w:val="nil"/>
              <w:bottom w:val="single" w:color="auto" w:sz="8" w:space="0"/>
              <w:right w:val="single" w:color="000000" w:sz="8" w:space="0"/>
            </w:tcBorders>
            <w:shd w:val="clear" w:color="auto" w:fill="auto"/>
            <w:vAlign w:val="center"/>
          </w:tcPr>
          <w:p>
            <w:pPr>
              <w:widowControl/>
              <w:spacing w:line="400" w:lineRule="exact"/>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本年收费金额（单位：万元）</w:t>
            </w:r>
          </w:p>
        </w:tc>
      </w:tr>
      <w:tr>
        <w:tblPrEx>
          <w:tblCellMar>
            <w:top w:w="0" w:type="dxa"/>
            <w:left w:w="108" w:type="dxa"/>
            <w:bottom w:w="0" w:type="dxa"/>
            <w:right w:w="108" w:type="dxa"/>
          </w:tblCellMar>
        </w:tblPrEx>
        <w:trPr>
          <w:trHeight w:val="573" w:hRule="atLeast"/>
          <w:jc w:val="center"/>
        </w:trPr>
        <w:tc>
          <w:tcPr>
            <w:tcW w:w="1249" w:type="pct"/>
            <w:tcBorders>
              <w:top w:val="nil"/>
              <w:left w:val="single" w:color="auto" w:sz="8" w:space="0"/>
              <w:bottom w:val="single" w:color="auto" w:sz="8" w:space="0"/>
              <w:right w:val="single" w:color="auto" w:sz="8" w:space="0"/>
            </w:tcBorders>
            <w:shd w:val="clear" w:color="auto" w:fill="auto"/>
            <w:vAlign w:val="center"/>
          </w:tcPr>
          <w:p>
            <w:pPr>
              <w:widowControl/>
              <w:spacing w:line="400" w:lineRule="exact"/>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行政事业性收费</w:t>
            </w:r>
          </w:p>
        </w:tc>
        <w:tc>
          <w:tcPr>
            <w:tcW w:w="3751" w:type="pct"/>
            <w:gridSpan w:val="3"/>
            <w:tcBorders>
              <w:top w:val="single" w:color="auto" w:sz="8" w:space="0"/>
              <w:left w:val="nil"/>
              <w:bottom w:val="single" w:color="auto" w:sz="8" w:space="0"/>
              <w:right w:val="single" w:color="000000" w:sz="8" w:space="0"/>
            </w:tcBorders>
            <w:shd w:val="clear" w:color="auto" w:fill="auto"/>
            <w:vAlign w:val="center"/>
          </w:tcPr>
          <w:p>
            <w:pPr>
              <w:widowControl/>
              <w:spacing w:line="400" w:lineRule="exact"/>
              <w:jc w:val="center"/>
              <w:rPr>
                <w:rFonts w:ascii="仿宋_GB2312" w:hAnsi="Calibri" w:eastAsia="仿宋_GB2312" w:cs="Calibri"/>
                <w:color w:val="000000"/>
                <w:kern w:val="0"/>
                <w:sz w:val="28"/>
                <w:szCs w:val="28"/>
              </w:rPr>
            </w:pPr>
            <w:r>
              <w:rPr>
                <w:rFonts w:hint="eastAsia" w:ascii="仿宋_GB2312" w:hAnsi="Calibri" w:eastAsia="仿宋_GB2312" w:cs="Calibri"/>
                <w:color w:val="000000"/>
                <w:kern w:val="0"/>
                <w:sz w:val="28"/>
                <w:szCs w:val="28"/>
              </w:rPr>
              <w:t>8819</w:t>
            </w:r>
          </w:p>
        </w:tc>
      </w:tr>
    </w:tbl>
    <w:p>
      <w:pPr>
        <w:spacing w:line="560" w:lineRule="exact"/>
        <w:ind w:firstLine="320" w:firstLineChars="100"/>
        <w:rPr>
          <w:rFonts w:ascii="黑体" w:hAnsi="黑体" w:eastAsia="黑体" w:cs="黑体"/>
          <w:sz w:val="32"/>
          <w:szCs w:val="32"/>
        </w:rPr>
      </w:pPr>
      <w:r>
        <w:rPr>
          <w:rFonts w:hint="eastAsia" w:ascii="黑体" w:hAnsi="黑体" w:eastAsia="黑体" w:cs="黑体"/>
          <w:sz w:val="32"/>
          <w:szCs w:val="32"/>
        </w:rPr>
        <w:t>三、收到和处理政府信息公开申请情况</w:t>
      </w:r>
    </w:p>
    <w:tbl>
      <w:tblPr>
        <w:tblStyle w:val="5"/>
        <w:tblW w:w="954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02"/>
        <w:gridCol w:w="1212"/>
        <w:gridCol w:w="2973"/>
        <w:gridCol w:w="752"/>
        <w:gridCol w:w="540"/>
        <w:gridCol w:w="540"/>
        <w:gridCol w:w="720"/>
        <w:gridCol w:w="675"/>
        <w:gridCol w:w="526"/>
        <w:gridCol w:w="7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5087" w:type="dxa"/>
            <w:gridSpan w:val="3"/>
            <w:vMerge w:val="restart"/>
            <w:shd w:val="clear" w:color="auto" w:fill="auto"/>
            <w:tcMar>
              <w:left w:w="108" w:type="dxa"/>
              <w:right w:w="108" w:type="dxa"/>
            </w:tcMar>
            <w:vAlign w:val="center"/>
          </w:tcPr>
          <w:p>
            <w:pPr>
              <w:widowControl/>
              <w:spacing w:line="400" w:lineRule="exact"/>
              <w:jc w:val="center"/>
              <w:rPr>
                <w:rFonts w:ascii="仿宋_GB2312" w:hAnsi="黑体" w:eastAsia="仿宋_GB2312"/>
                <w:color w:val="000000" w:themeColor="text1"/>
                <w:kern w:val="0"/>
                <w:sz w:val="28"/>
                <w:szCs w:val="28"/>
              </w:rPr>
            </w:pPr>
            <w:r>
              <w:rPr>
                <w:rFonts w:hint="eastAsia" w:ascii="仿宋_GB2312" w:hAnsi="黑体" w:eastAsia="仿宋_GB2312"/>
                <w:color w:val="000000" w:themeColor="text1"/>
                <w:kern w:val="0"/>
                <w:sz w:val="28"/>
                <w:szCs w:val="28"/>
              </w:rPr>
              <w:t>（本列数据的勾稽关系为：第一项加第二项之和，等于第三项加第四项之和）</w:t>
            </w:r>
          </w:p>
        </w:tc>
        <w:tc>
          <w:tcPr>
            <w:tcW w:w="4454" w:type="dxa"/>
            <w:gridSpan w:val="7"/>
            <w:shd w:val="clear" w:color="auto" w:fill="auto"/>
            <w:tcMar>
              <w:left w:w="108" w:type="dxa"/>
              <w:right w:w="108" w:type="dxa"/>
            </w:tcMar>
            <w:vAlign w:val="center"/>
          </w:tcPr>
          <w:p>
            <w:pPr>
              <w:widowControl/>
              <w:spacing w:line="400" w:lineRule="exact"/>
              <w:jc w:val="center"/>
              <w:rPr>
                <w:rFonts w:ascii="仿宋_GB2312" w:hAnsi="黑体" w:eastAsia="仿宋_GB2312"/>
                <w:color w:val="000000" w:themeColor="text1"/>
                <w:sz w:val="28"/>
                <w:szCs w:val="28"/>
              </w:rPr>
            </w:pPr>
            <w:r>
              <w:rPr>
                <w:rFonts w:hint="eastAsia" w:ascii="仿宋_GB2312" w:hAnsi="黑体" w:eastAsia="仿宋_GB2312"/>
                <w:color w:val="000000" w:themeColor="text1"/>
                <w:kern w:val="0"/>
                <w:sz w:val="28"/>
                <w:szCs w:val="28"/>
              </w:rPr>
              <w:t>申请人情况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5087" w:type="dxa"/>
            <w:gridSpan w:val="3"/>
            <w:vMerge w:val="continue"/>
            <w:shd w:val="clear" w:color="auto" w:fill="auto"/>
            <w:tcMar>
              <w:left w:w="108" w:type="dxa"/>
              <w:right w:w="108" w:type="dxa"/>
            </w:tcMar>
            <w:vAlign w:val="center"/>
          </w:tcPr>
          <w:p>
            <w:pPr>
              <w:spacing w:line="400" w:lineRule="exact"/>
              <w:jc w:val="center"/>
              <w:rPr>
                <w:rFonts w:ascii="仿宋_GB2312" w:hAnsi="Times New Roman" w:eastAsia="仿宋_GB2312"/>
                <w:color w:val="000000" w:themeColor="text1"/>
                <w:sz w:val="28"/>
                <w:szCs w:val="28"/>
              </w:rPr>
            </w:pPr>
          </w:p>
        </w:tc>
        <w:tc>
          <w:tcPr>
            <w:tcW w:w="752" w:type="dxa"/>
            <w:vMerge w:val="restart"/>
            <w:shd w:val="clear" w:color="auto" w:fill="auto"/>
            <w:tcMar>
              <w:left w:w="108" w:type="dxa"/>
              <w:right w:w="108" w:type="dxa"/>
            </w:tcMar>
            <w:vAlign w:val="center"/>
          </w:tcPr>
          <w:p>
            <w:pPr>
              <w:widowControl/>
              <w:spacing w:line="400" w:lineRule="exact"/>
              <w:jc w:val="center"/>
              <w:rPr>
                <w:rFonts w:ascii="仿宋_GB2312" w:hAnsi="黑体" w:eastAsia="仿宋_GB2312"/>
                <w:color w:val="000000" w:themeColor="text1"/>
                <w:sz w:val="28"/>
                <w:szCs w:val="28"/>
              </w:rPr>
            </w:pPr>
            <w:r>
              <w:rPr>
                <w:rFonts w:hint="eastAsia" w:ascii="仿宋_GB2312" w:hAnsi="黑体" w:eastAsia="仿宋_GB2312"/>
                <w:color w:val="000000" w:themeColor="text1"/>
                <w:kern w:val="0"/>
                <w:sz w:val="28"/>
                <w:szCs w:val="28"/>
              </w:rPr>
              <w:t>自然人</w:t>
            </w:r>
          </w:p>
        </w:tc>
        <w:tc>
          <w:tcPr>
            <w:tcW w:w="3001" w:type="dxa"/>
            <w:gridSpan w:val="5"/>
            <w:shd w:val="clear" w:color="auto" w:fill="auto"/>
            <w:tcMar>
              <w:left w:w="108" w:type="dxa"/>
              <w:right w:w="108" w:type="dxa"/>
            </w:tcMar>
            <w:vAlign w:val="center"/>
          </w:tcPr>
          <w:p>
            <w:pPr>
              <w:widowControl/>
              <w:spacing w:line="400" w:lineRule="exact"/>
              <w:jc w:val="center"/>
              <w:rPr>
                <w:rFonts w:ascii="仿宋_GB2312" w:hAnsi="黑体" w:eastAsia="仿宋_GB2312"/>
                <w:color w:val="000000" w:themeColor="text1"/>
                <w:sz w:val="28"/>
                <w:szCs w:val="28"/>
              </w:rPr>
            </w:pPr>
            <w:r>
              <w:rPr>
                <w:rFonts w:hint="eastAsia" w:ascii="仿宋_GB2312" w:hAnsi="黑体" w:eastAsia="仿宋_GB2312"/>
                <w:color w:val="000000" w:themeColor="text1"/>
                <w:kern w:val="0"/>
                <w:sz w:val="28"/>
                <w:szCs w:val="28"/>
              </w:rPr>
              <w:t>法人或其他组织</w:t>
            </w:r>
          </w:p>
        </w:tc>
        <w:tc>
          <w:tcPr>
            <w:tcW w:w="701" w:type="dxa"/>
            <w:vMerge w:val="restart"/>
            <w:shd w:val="clear" w:color="auto" w:fill="auto"/>
            <w:tcMar>
              <w:left w:w="108" w:type="dxa"/>
              <w:right w:w="108" w:type="dxa"/>
            </w:tcMar>
            <w:vAlign w:val="center"/>
          </w:tcPr>
          <w:p>
            <w:pPr>
              <w:widowControl/>
              <w:spacing w:line="400" w:lineRule="exact"/>
              <w:jc w:val="center"/>
              <w:rPr>
                <w:rFonts w:ascii="仿宋_GB2312" w:hAnsi="黑体" w:eastAsia="仿宋_GB2312"/>
                <w:color w:val="000000" w:themeColor="text1"/>
                <w:sz w:val="28"/>
                <w:szCs w:val="28"/>
              </w:rPr>
            </w:pPr>
            <w:r>
              <w:rPr>
                <w:rFonts w:hint="eastAsia" w:ascii="仿宋_GB2312" w:hAnsi="黑体" w:eastAsia="仿宋_GB2312"/>
                <w:color w:val="000000" w:themeColor="text1"/>
                <w:kern w:val="0"/>
                <w:sz w:val="28"/>
                <w:szCs w:val="28"/>
              </w:rPr>
              <w:t>总计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087" w:type="dxa"/>
            <w:gridSpan w:val="3"/>
            <w:vMerge w:val="continue"/>
            <w:shd w:val="clear" w:color="auto" w:fill="auto"/>
            <w:tcMar>
              <w:left w:w="108" w:type="dxa"/>
              <w:right w:w="108" w:type="dxa"/>
            </w:tcMar>
            <w:vAlign w:val="center"/>
          </w:tcPr>
          <w:p>
            <w:pPr>
              <w:spacing w:line="400" w:lineRule="exact"/>
              <w:jc w:val="center"/>
              <w:rPr>
                <w:rFonts w:ascii="仿宋_GB2312" w:hAnsi="Times New Roman" w:eastAsia="仿宋_GB2312"/>
                <w:color w:val="000000" w:themeColor="text1"/>
                <w:sz w:val="28"/>
                <w:szCs w:val="28"/>
              </w:rPr>
            </w:pPr>
          </w:p>
        </w:tc>
        <w:tc>
          <w:tcPr>
            <w:tcW w:w="752" w:type="dxa"/>
            <w:vMerge w:val="continue"/>
            <w:shd w:val="clear" w:color="auto" w:fill="auto"/>
            <w:tcMar>
              <w:left w:w="108" w:type="dxa"/>
              <w:right w:w="108" w:type="dxa"/>
            </w:tcMar>
            <w:vAlign w:val="center"/>
          </w:tcPr>
          <w:p>
            <w:pPr>
              <w:spacing w:line="400" w:lineRule="exact"/>
              <w:jc w:val="center"/>
              <w:rPr>
                <w:rFonts w:ascii="仿宋_GB2312" w:hAnsi="黑体" w:eastAsia="仿宋_GB2312"/>
                <w:color w:val="000000" w:themeColor="text1"/>
                <w:sz w:val="28"/>
                <w:szCs w:val="28"/>
              </w:rPr>
            </w:pPr>
          </w:p>
        </w:tc>
        <w:tc>
          <w:tcPr>
            <w:tcW w:w="540" w:type="dxa"/>
            <w:shd w:val="clear" w:color="auto" w:fill="auto"/>
            <w:tcMar>
              <w:left w:w="108" w:type="dxa"/>
              <w:right w:w="108" w:type="dxa"/>
            </w:tcMar>
            <w:vAlign w:val="center"/>
          </w:tcPr>
          <w:p>
            <w:pPr>
              <w:widowControl/>
              <w:spacing w:line="400" w:lineRule="exact"/>
              <w:ind w:left="-106" w:leftChars="-51" w:right="-107" w:rightChars="-51" w:hanging="1"/>
              <w:jc w:val="center"/>
              <w:rPr>
                <w:rFonts w:ascii="仿宋_GB2312" w:hAnsi="黑体" w:eastAsia="仿宋_GB2312"/>
                <w:color w:val="000000" w:themeColor="text1"/>
                <w:sz w:val="28"/>
                <w:szCs w:val="28"/>
              </w:rPr>
            </w:pPr>
            <w:r>
              <w:rPr>
                <w:rFonts w:hint="eastAsia" w:ascii="仿宋_GB2312" w:hAnsi="黑体" w:eastAsia="仿宋_GB2312"/>
                <w:color w:val="000000" w:themeColor="text1"/>
                <w:kern w:val="0"/>
                <w:sz w:val="28"/>
                <w:szCs w:val="28"/>
              </w:rPr>
              <w:t>商业企业</w:t>
            </w:r>
          </w:p>
        </w:tc>
        <w:tc>
          <w:tcPr>
            <w:tcW w:w="540" w:type="dxa"/>
            <w:shd w:val="clear" w:color="auto" w:fill="auto"/>
            <w:tcMar>
              <w:left w:w="108" w:type="dxa"/>
              <w:right w:w="108" w:type="dxa"/>
            </w:tcMar>
            <w:vAlign w:val="center"/>
          </w:tcPr>
          <w:p>
            <w:pPr>
              <w:widowControl/>
              <w:spacing w:line="400" w:lineRule="exact"/>
              <w:ind w:left="-107" w:leftChars="-51" w:right="-107" w:rightChars="-51"/>
              <w:jc w:val="center"/>
              <w:rPr>
                <w:rFonts w:ascii="仿宋_GB2312" w:hAnsi="黑体" w:eastAsia="仿宋_GB2312"/>
                <w:color w:val="000000" w:themeColor="text1"/>
                <w:sz w:val="28"/>
                <w:szCs w:val="28"/>
              </w:rPr>
            </w:pPr>
            <w:r>
              <w:rPr>
                <w:rFonts w:hint="eastAsia" w:ascii="仿宋_GB2312" w:hAnsi="黑体" w:eastAsia="仿宋_GB2312"/>
                <w:color w:val="000000" w:themeColor="text1"/>
                <w:kern w:val="0"/>
                <w:sz w:val="28"/>
                <w:szCs w:val="28"/>
              </w:rPr>
              <w:t>科研机构</w:t>
            </w:r>
          </w:p>
        </w:tc>
        <w:tc>
          <w:tcPr>
            <w:tcW w:w="720" w:type="dxa"/>
            <w:shd w:val="clear" w:color="auto" w:fill="auto"/>
            <w:tcMar>
              <w:left w:w="108" w:type="dxa"/>
              <w:right w:w="108" w:type="dxa"/>
            </w:tcMar>
            <w:vAlign w:val="center"/>
          </w:tcPr>
          <w:p>
            <w:pPr>
              <w:widowControl/>
              <w:spacing w:line="400" w:lineRule="exact"/>
              <w:ind w:left="-107" w:leftChars="-51" w:right="-107" w:rightChars="-51"/>
              <w:jc w:val="center"/>
              <w:rPr>
                <w:rFonts w:ascii="仿宋_GB2312" w:hAnsi="黑体" w:eastAsia="仿宋_GB2312"/>
                <w:color w:val="000000" w:themeColor="text1"/>
                <w:sz w:val="28"/>
                <w:szCs w:val="28"/>
              </w:rPr>
            </w:pPr>
            <w:r>
              <w:rPr>
                <w:rFonts w:hint="eastAsia" w:ascii="仿宋_GB2312" w:hAnsi="黑体" w:eastAsia="仿宋_GB2312"/>
                <w:color w:val="000000" w:themeColor="text1"/>
                <w:kern w:val="0"/>
                <w:sz w:val="28"/>
                <w:szCs w:val="28"/>
              </w:rPr>
              <w:t>社会公益组织</w:t>
            </w:r>
          </w:p>
        </w:tc>
        <w:tc>
          <w:tcPr>
            <w:tcW w:w="675" w:type="dxa"/>
            <w:shd w:val="clear" w:color="auto" w:fill="auto"/>
            <w:tcMar>
              <w:left w:w="108" w:type="dxa"/>
              <w:right w:w="108" w:type="dxa"/>
            </w:tcMar>
            <w:vAlign w:val="center"/>
          </w:tcPr>
          <w:p>
            <w:pPr>
              <w:widowControl/>
              <w:spacing w:line="400" w:lineRule="exact"/>
              <w:ind w:left="-106" w:leftChars="-51" w:right="-107" w:rightChars="-51" w:hanging="1"/>
              <w:jc w:val="center"/>
              <w:rPr>
                <w:rFonts w:ascii="仿宋_GB2312" w:hAnsi="黑体" w:eastAsia="仿宋_GB2312"/>
                <w:color w:val="000000" w:themeColor="text1"/>
                <w:sz w:val="28"/>
                <w:szCs w:val="28"/>
              </w:rPr>
            </w:pPr>
            <w:r>
              <w:rPr>
                <w:rFonts w:hint="eastAsia" w:ascii="仿宋_GB2312" w:hAnsi="黑体" w:eastAsia="仿宋_GB2312"/>
                <w:color w:val="000000" w:themeColor="text1"/>
                <w:kern w:val="0"/>
                <w:sz w:val="28"/>
                <w:szCs w:val="28"/>
              </w:rPr>
              <w:t>法律服务机构</w:t>
            </w:r>
          </w:p>
        </w:tc>
        <w:tc>
          <w:tcPr>
            <w:tcW w:w="526" w:type="dxa"/>
            <w:shd w:val="clear" w:color="auto" w:fill="auto"/>
            <w:tcMar>
              <w:left w:w="108" w:type="dxa"/>
              <w:right w:w="108" w:type="dxa"/>
            </w:tcMar>
            <w:vAlign w:val="center"/>
          </w:tcPr>
          <w:p>
            <w:pPr>
              <w:widowControl/>
              <w:spacing w:line="400" w:lineRule="exact"/>
              <w:ind w:left="-63" w:leftChars="-30" w:right="-134" w:rightChars="-64"/>
              <w:jc w:val="center"/>
              <w:rPr>
                <w:rFonts w:ascii="仿宋_GB2312" w:hAnsi="黑体" w:eastAsia="仿宋_GB2312"/>
                <w:color w:val="000000" w:themeColor="text1"/>
                <w:sz w:val="28"/>
                <w:szCs w:val="28"/>
              </w:rPr>
            </w:pPr>
            <w:r>
              <w:rPr>
                <w:rFonts w:hint="eastAsia" w:ascii="仿宋_GB2312" w:hAnsi="黑体" w:eastAsia="仿宋_GB2312"/>
                <w:color w:val="000000" w:themeColor="text1"/>
                <w:kern w:val="0"/>
                <w:sz w:val="28"/>
                <w:szCs w:val="28"/>
              </w:rPr>
              <w:t>其他</w:t>
            </w:r>
          </w:p>
        </w:tc>
        <w:tc>
          <w:tcPr>
            <w:tcW w:w="701" w:type="dxa"/>
            <w:vMerge w:val="continue"/>
            <w:shd w:val="clear" w:color="auto" w:fill="auto"/>
            <w:tcMar>
              <w:left w:w="108" w:type="dxa"/>
              <w:right w:w="108" w:type="dxa"/>
            </w:tcMar>
            <w:vAlign w:val="center"/>
          </w:tcPr>
          <w:p>
            <w:pPr>
              <w:spacing w:line="400" w:lineRule="exact"/>
              <w:jc w:val="center"/>
              <w:rPr>
                <w:rFonts w:ascii="仿宋_GB2312" w:hAnsi="Times New Roman" w:eastAsia="仿宋_GB2312"/>
                <w:color w:val="000000" w:themeColor="text1"/>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87" w:type="dxa"/>
            <w:gridSpan w:val="3"/>
            <w:shd w:val="clear" w:color="auto" w:fill="auto"/>
            <w:tcMar>
              <w:left w:w="108" w:type="dxa"/>
              <w:right w:w="108" w:type="dxa"/>
            </w:tcMar>
            <w:vAlign w:val="center"/>
          </w:tcPr>
          <w:p>
            <w:pPr>
              <w:widowControl/>
              <w:spacing w:line="400" w:lineRule="exact"/>
              <w:rPr>
                <w:rFonts w:ascii="仿宋_GB2312" w:hAnsi="黑体" w:eastAsia="仿宋_GB2312"/>
                <w:color w:val="000000" w:themeColor="text1"/>
                <w:sz w:val="28"/>
                <w:szCs w:val="28"/>
              </w:rPr>
            </w:pPr>
            <w:r>
              <w:rPr>
                <w:rFonts w:hint="eastAsia" w:ascii="仿宋_GB2312" w:hAnsi="黑体" w:eastAsia="仿宋_GB2312"/>
                <w:color w:val="000000" w:themeColor="text1"/>
                <w:kern w:val="0"/>
                <w:sz w:val="28"/>
                <w:szCs w:val="28"/>
              </w:rPr>
              <w:t>一、</w:t>
            </w:r>
            <w:bookmarkStart w:id="0" w:name="_Hlk66973412"/>
            <w:r>
              <w:rPr>
                <w:rFonts w:hint="eastAsia" w:ascii="仿宋_GB2312" w:hAnsi="黑体" w:eastAsia="仿宋_GB2312"/>
                <w:color w:val="000000" w:themeColor="text1"/>
                <w:kern w:val="0"/>
                <w:sz w:val="28"/>
                <w:szCs w:val="28"/>
              </w:rPr>
              <w:t>本年新收政府信息公开申请数量</w:t>
            </w:r>
            <w:bookmarkEnd w:id="0"/>
          </w:p>
        </w:tc>
        <w:tc>
          <w:tcPr>
            <w:tcW w:w="752"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26</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2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675"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26"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01"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87" w:type="dxa"/>
            <w:gridSpan w:val="3"/>
            <w:shd w:val="clear" w:color="auto" w:fill="auto"/>
            <w:tcMar>
              <w:left w:w="108" w:type="dxa"/>
              <w:right w:w="108" w:type="dxa"/>
            </w:tcMar>
            <w:vAlign w:val="center"/>
          </w:tcPr>
          <w:p>
            <w:pPr>
              <w:widowControl/>
              <w:spacing w:line="400" w:lineRule="exact"/>
              <w:rPr>
                <w:rFonts w:ascii="仿宋_GB2312" w:hAnsi="黑体" w:eastAsia="仿宋_GB2312"/>
                <w:color w:val="000000" w:themeColor="text1"/>
                <w:sz w:val="28"/>
                <w:szCs w:val="28"/>
              </w:rPr>
            </w:pPr>
            <w:r>
              <w:rPr>
                <w:rFonts w:hint="eastAsia" w:ascii="仿宋_GB2312" w:hAnsi="黑体" w:eastAsia="仿宋_GB2312"/>
                <w:color w:val="000000" w:themeColor="text1"/>
                <w:kern w:val="0"/>
                <w:sz w:val="28"/>
                <w:szCs w:val="28"/>
              </w:rPr>
              <w:t>二、上年结转政府信息公开申请数量</w:t>
            </w:r>
          </w:p>
        </w:tc>
        <w:tc>
          <w:tcPr>
            <w:tcW w:w="752"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2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675"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26"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01"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02" w:type="dxa"/>
            <w:vMerge w:val="restart"/>
            <w:shd w:val="clear" w:color="auto" w:fill="auto"/>
            <w:tcMar>
              <w:left w:w="108" w:type="dxa"/>
              <w:right w:w="108" w:type="dxa"/>
            </w:tcMar>
            <w:vAlign w:val="center"/>
          </w:tcPr>
          <w:p>
            <w:pPr>
              <w:widowControl/>
              <w:spacing w:after="180" w:line="400" w:lineRule="exact"/>
              <w:rPr>
                <w:rFonts w:ascii="仿宋_GB2312" w:hAnsi="黑体" w:eastAsia="仿宋_GB2312"/>
                <w:color w:val="000000" w:themeColor="text1"/>
                <w:sz w:val="28"/>
                <w:szCs w:val="28"/>
              </w:rPr>
            </w:pPr>
            <w:r>
              <w:rPr>
                <w:rFonts w:hint="eastAsia" w:ascii="仿宋_GB2312" w:hAnsi="黑体" w:eastAsia="仿宋_GB2312"/>
                <w:color w:val="000000" w:themeColor="text1"/>
                <w:kern w:val="0"/>
                <w:sz w:val="28"/>
                <w:szCs w:val="28"/>
              </w:rPr>
              <w:t>三、本年度办理结果</w:t>
            </w:r>
          </w:p>
        </w:tc>
        <w:tc>
          <w:tcPr>
            <w:tcW w:w="4185" w:type="dxa"/>
            <w:gridSpan w:val="2"/>
            <w:shd w:val="clear" w:color="auto" w:fill="auto"/>
            <w:tcMar>
              <w:left w:w="108" w:type="dxa"/>
              <w:right w:w="108" w:type="dxa"/>
            </w:tcMar>
            <w:vAlign w:val="center"/>
          </w:tcPr>
          <w:p>
            <w:pPr>
              <w:widowControl/>
              <w:spacing w:line="400" w:lineRule="exact"/>
              <w:rPr>
                <w:rFonts w:ascii="仿宋_GB2312" w:hAnsi="黑体" w:eastAsia="仿宋_GB2312"/>
                <w:color w:val="000000" w:themeColor="text1"/>
                <w:sz w:val="28"/>
                <w:szCs w:val="28"/>
              </w:rPr>
            </w:pPr>
            <w:r>
              <w:rPr>
                <w:rFonts w:hint="eastAsia" w:ascii="仿宋_GB2312" w:hAnsi="黑体" w:eastAsia="仿宋_GB2312"/>
                <w:color w:val="000000" w:themeColor="text1"/>
                <w:kern w:val="0"/>
                <w:sz w:val="28"/>
                <w:szCs w:val="28"/>
              </w:rPr>
              <w:t>（一）予以公开</w:t>
            </w:r>
          </w:p>
        </w:tc>
        <w:tc>
          <w:tcPr>
            <w:tcW w:w="752"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19</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2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675"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26"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01"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02" w:type="dxa"/>
            <w:vMerge w:val="continue"/>
            <w:shd w:val="clear" w:color="auto" w:fill="auto"/>
            <w:tcMar>
              <w:left w:w="108" w:type="dxa"/>
              <w:right w:w="108" w:type="dxa"/>
            </w:tcMar>
            <w:vAlign w:val="center"/>
          </w:tcPr>
          <w:p>
            <w:pPr>
              <w:spacing w:line="400" w:lineRule="exact"/>
              <w:rPr>
                <w:rFonts w:ascii="仿宋_GB2312" w:hAnsi="黑体" w:eastAsia="仿宋_GB2312"/>
                <w:color w:val="000000" w:themeColor="text1"/>
                <w:sz w:val="28"/>
                <w:szCs w:val="28"/>
              </w:rPr>
            </w:pPr>
          </w:p>
        </w:tc>
        <w:tc>
          <w:tcPr>
            <w:tcW w:w="4185" w:type="dxa"/>
            <w:gridSpan w:val="2"/>
            <w:shd w:val="clear" w:color="auto" w:fill="auto"/>
            <w:tcMar>
              <w:left w:w="108" w:type="dxa"/>
              <w:right w:w="108" w:type="dxa"/>
            </w:tcMar>
            <w:vAlign w:val="center"/>
          </w:tcPr>
          <w:p>
            <w:pPr>
              <w:widowControl/>
              <w:spacing w:line="400" w:lineRule="exact"/>
              <w:rPr>
                <w:rFonts w:ascii="仿宋_GB2312" w:hAnsi="黑体" w:eastAsia="仿宋_GB2312"/>
                <w:color w:val="000000" w:themeColor="text1"/>
                <w:sz w:val="28"/>
                <w:szCs w:val="28"/>
              </w:rPr>
            </w:pPr>
            <w:r>
              <w:rPr>
                <w:rFonts w:hint="eastAsia" w:ascii="仿宋_GB2312" w:hAnsi="黑体" w:eastAsia="仿宋_GB2312"/>
                <w:color w:val="000000" w:themeColor="text1"/>
                <w:kern w:val="0"/>
                <w:sz w:val="28"/>
                <w:szCs w:val="28"/>
              </w:rPr>
              <w:t>（二）部分公开（</w:t>
            </w:r>
            <w:bookmarkStart w:id="1" w:name="_Hlk66973981"/>
            <w:r>
              <w:rPr>
                <w:rFonts w:hint="eastAsia" w:ascii="仿宋_GB2312" w:hAnsi="黑体" w:eastAsia="仿宋_GB2312"/>
                <w:color w:val="000000" w:themeColor="text1"/>
                <w:kern w:val="0"/>
                <w:sz w:val="28"/>
                <w:szCs w:val="28"/>
              </w:rPr>
              <w:t>区分处理的，只计这一情形，不计其他情形</w:t>
            </w:r>
            <w:bookmarkEnd w:id="1"/>
            <w:r>
              <w:rPr>
                <w:rFonts w:hint="eastAsia" w:ascii="仿宋_GB2312" w:hAnsi="黑体" w:eastAsia="仿宋_GB2312"/>
                <w:color w:val="000000" w:themeColor="text1"/>
                <w:kern w:val="0"/>
                <w:sz w:val="28"/>
                <w:szCs w:val="28"/>
              </w:rPr>
              <w:t>）</w:t>
            </w:r>
          </w:p>
        </w:tc>
        <w:tc>
          <w:tcPr>
            <w:tcW w:w="752"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3</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2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675"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26"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01"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902" w:type="dxa"/>
            <w:vMerge w:val="continue"/>
            <w:shd w:val="clear" w:color="auto" w:fill="auto"/>
            <w:tcMar>
              <w:left w:w="108" w:type="dxa"/>
              <w:right w:w="108" w:type="dxa"/>
            </w:tcMar>
            <w:vAlign w:val="center"/>
          </w:tcPr>
          <w:p>
            <w:pPr>
              <w:spacing w:line="400" w:lineRule="exact"/>
              <w:rPr>
                <w:rFonts w:ascii="仿宋_GB2312" w:hAnsi="黑体" w:eastAsia="仿宋_GB2312"/>
                <w:color w:val="000000" w:themeColor="text1"/>
                <w:sz w:val="28"/>
                <w:szCs w:val="28"/>
              </w:rPr>
            </w:pPr>
          </w:p>
        </w:tc>
        <w:tc>
          <w:tcPr>
            <w:tcW w:w="1212" w:type="dxa"/>
            <w:vMerge w:val="restart"/>
            <w:shd w:val="clear" w:color="auto" w:fill="auto"/>
            <w:tcMar>
              <w:left w:w="108" w:type="dxa"/>
              <w:right w:w="108" w:type="dxa"/>
            </w:tcMar>
            <w:vAlign w:val="center"/>
          </w:tcPr>
          <w:p>
            <w:pPr>
              <w:widowControl/>
              <w:spacing w:line="400" w:lineRule="exact"/>
              <w:ind w:left="-107" w:leftChars="-51"/>
              <w:rPr>
                <w:rFonts w:ascii="仿宋_GB2312" w:hAnsi="黑体" w:eastAsia="仿宋_GB2312"/>
                <w:color w:val="000000" w:themeColor="text1"/>
                <w:sz w:val="28"/>
                <w:szCs w:val="28"/>
              </w:rPr>
            </w:pPr>
            <w:r>
              <w:rPr>
                <w:rFonts w:hint="eastAsia" w:ascii="仿宋_GB2312" w:hAnsi="黑体" w:eastAsia="仿宋_GB2312"/>
                <w:color w:val="000000" w:themeColor="text1"/>
                <w:kern w:val="0"/>
                <w:sz w:val="28"/>
                <w:szCs w:val="28"/>
              </w:rPr>
              <w:t>（三）不予公开</w:t>
            </w:r>
          </w:p>
        </w:tc>
        <w:tc>
          <w:tcPr>
            <w:tcW w:w="2973" w:type="dxa"/>
            <w:shd w:val="clear" w:color="auto" w:fill="auto"/>
            <w:tcMar>
              <w:left w:w="108" w:type="dxa"/>
              <w:right w:w="108" w:type="dxa"/>
            </w:tcMar>
            <w:vAlign w:val="center"/>
          </w:tcPr>
          <w:p>
            <w:pPr>
              <w:widowControl/>
              <w:spacing w:line="400" w:lineRule="exact"/>
              <w:rPr>
                <w:rFonts w:ascii="仿宋_GB2312" w:hAnsi="黑体" w:eastAsia="仿宋_GB2312"/>
                <w:color w:val="000000" w:themeColor="text1"/>
                <w:kern w:val="0"/>
                <w:sz w:val="28"/>
                <w:szCs w:val="28"/>
              </w:rPr>
            </w:pPr>
            <w:r>
              <w:rPr>
                <w:rFonts w:hint="eastAsia" w:ascii="仿宋_GB2312" w:hAnsi="黑体" w:eastAsia="仿宋_GB2312"/>
                <w:color w:val="000000" w:themeColor="text1"/>
                <w:kern w:val="0"/>
                <w:sz w:val="28"/>
                <w:szCs w:val="28"/>
              </w:rPr>
              <w:t>1.属于国家秘密</w:t>
            </w:r>
          </w:p>
        </w:tc>
        <w:tc>
          <w:tcPr>
            <w:tcW w:w="752"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2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675"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26"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01"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902" w:type="dxa"/>
            <w:vMerge w:val="continue"/>
            <w:shd w:val="clear" w:color="auto" w:fill="auto"/>
            <w:tcMar>
              <w:left w:w="108" w:type="dxa"/>
              <w:right w:w="108" w:type="dxa"/>
            </w:tcMar>
            <w:vAlign w:val="center"/>
          </w:tcPr>
          <w:p>
            <w:pPr>
              <w:spacing w:line="400" w:lineRule="exact"/>
              <w:rPr>
                <w:rFonts w:ascii="仿宋_GB2312" w:hAnsi="黑体" w:eastAsia="仿宋_GB2312"/>
                <w:color w:val="000000" w:themeColor="text1"/>
                <w:sz w:val="28"/>
                <w:szCs w:val="28"/>
              </w:rPr>
            </w:pPr>
          </w:p>
        </w:tc>
        <w:tc>
          <w:tcPr>
            <w:tcW w:w="1212" w:type="dxa"/>
            <w:vMerge w:val="continue"/>
            <w:shd w:val="clear" w:color="auto" w:fill="auto"/>
            <w:tcMar>
              <w:left w:w="108" w:type="dxa"/>
              <w:right w:w="108" w:type="dxa"/>
            </w:tcMar>
            <w:vAlign w:val="center"/>
          </w:tcPr>
          <w:p>
            <w:pPr>
              <w:spacing w:line="400" w:lineRule="exact"/>
              <w:rPr>
                <w:rFonts w:ascii="仿宋_GB2312" w:hAnsi="黑体" w:eastAsia="仿宋_GB2312"/>
                <w:color w:val="000000" w:themeColor="text1"/>
                <w:sz w:val="28"/>
                <w:szCs w:val="28"/>
              </w:rPr>
            </w:pPr>
          </w:p>
        </w:tc>
        <w:tc>
          <w:tcPr>
            <w:tcW w:w="2973" w:type="dxa"/>
            <w:shd w:val="clear" w:color="auto" w:fill="auto"/>
            <w:tcMar>
              <w:left w:w="108" w:type="dxa"/>
              <w:right w:w="108" w:type="dxa"/>
            </w:tcMar>
            <w:vAlign w:val="center"/>
          </w:tcPr>
          <w:p>
            <w:pPr>
              <w:widowControl/>
              <w:spacing w:line="400" w:lineRule="exact"/>
              <w:rPr>
                <w:rFonts w:ascii="仿宋_GB2312" w:hAnsi="黑体" w:eastAsia="仿宋_GB2312"/>
                <w:color w:val="000000" w:themeColor="text1"/>
                <w:kern w:val="0"/>
                <w:sz w:val="28"/>
                <w:szCs w:val="28"/>
              </w:rPr>
            </w:pPr>
            <w:r>
              <w:rPr>
                <w:rFonts w:hint="eastAsia" w:ascii="仿宋_GB2312" w:hAnsi="黑体" w:eastAsia="仿宋_GB2312"/>
                <w:color w:val="000000" w:themeColor="text1"/>
                <w:kern w:val="0"/>
                <w:sz w:val="28"/>
                <w:szCs w:val="28"/>
              </w:rPr>
              <w:t>2.</w:t>
            </w:r>
            <w:bookmarkStart w:id="2" w:name="_Hlk66974104"/>
            <w:r>
              <w:rPr>
                <w:rFonts w:hint="eastAsia" w:ascii="仿宋_GB2312" w:hAnsi="黑体" w:eastAsia="仿宋_GB2312"/>
                <w:color w:val="000000" w:themeColor="text1"/>
                <w:kern w:val="0"/>
                <w:sz w:val="28"/>
                <w:szCs w:val="28"/>
              </w:rPr>
              <w:t>其他法律行政法规禁止公开</w:t>
            </w:r>
            <w:bookmarkEnd w:id="2"/>
          </w:p>
        </w:tc>
        <w:tc>
          <w:tcPr>
            <w:tcW w:w="752"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2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675"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26"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01"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902" w:type="dxa"/>
            <w:vMerge w:val="continue"/>
            <w:shd w:val="clear" w:color="auto" w:fill="auto"/>
            <w:tcMar>
              <w:left w:w="108" w:type="dxa"/>
              <w:right w:w="108" w:type="dxa"/>
            </w:tcMar>
            <w:vAlign w:val="center"/>
          </w:tcPr>
          <w:p>
            <w:pPr>
              <w:spacing w:line="400" w:lineRule="exact"/>
              <w:rPr>
                <w:rFonts w:ascii="仿宋_GB2312" w:hAnsi="黑体" w:eastAsia="仿宋_GB2312"/>
                <w:color w:val="000000" w:themeColor="text1"/>
                <w:sz w:val="28"/>
                <w:szCs w:val="28"/>
              </w:rPr>
            </w:pPr>
          </w:p>
        </w:tc>
        <w:tc>
          <w:tcPr>
            <w:tcW w:w="1212" w:type="dxa"/>
            <w:vMerge w:val="continue"/>
            <w:shd w:val="clear" w:color="auto" w:fill="auto"/>
            <w:tcMar>
              <w:left w:w="108" w:type="dxa"/>
              <w:right w:w="108" w:type="dxa"/>
            </w:tcMar>
            <w:vAlign w:val="center"/>
          </w:tcPr>
          <w:p>
            <w:pPr>
              <w:spacing w:line="400" w:lineRule="exact"/>
              <w:rPr>
                <w:rFonts w:ascii="仿宋_GB2312" w:hAnsi="黑体" w:eastAsia="仿宋_GB2312"/>
                <w:color w:val="000000" w:themeColor="text1"/>
                <w:sz w:val="28"/>
                <w:szCs w:val="28"/>
              </w:rPr>
            </w:pPr>
          </w:p>
        </w:tc>
        <w:tc>
          <w:tcPr>
            <w:tcW w:w="2973" w:type="dxa"/>
            <w:shd w:val="clear" w:color="auto" w:fill="auto"/>
            <w:tcMar>
              <w:left w:w="108" w:type="dxa"/>
              <w:right w:w="108" w:type="dxa"/>
            </w:tcMar>
            <w:vAlign w:val="center"/>
          </w:tcPr>
          <w:p>
            <w:pPr>
              <w:widowControl/>
              <w:spacing w:line="400" w:lineRule="exact"/>
              <w:rPr>
                <w:rFonts w:ascii="仿宋_GB2312" w:hAnsi="黑体" w:eastAsia="仿宋_GB2312"/>
                <w:color w:val="000000" w:themeColor="text1"/>
                <w:kern w:val="0"/>
                <w:sz w:val="28"/>
                <w:szCs w:val="28"/>
              </w:rPr>
            </w:pPr>
            <w:r>
              <w:rPr>
                <w:rFonts w:hint="eastAsia" w:ascii="仿宋_GB2312" w:hAnsi="黑体" w:eastAsia="仿宋_GB2312"/>
                <w:color w:val="000000" w:themeColor="text1"/>
                <w:kern w:val="0"/>
                <w:sz w:val="28"/>
                <w:szCs w:val="28"/>
              </w:rPr>
              <w:t>3.危及“三安全一稳定”</w:t>
            </w:r>
          </w:p>
        </w:tc>
        <w:tc>
          <w:tcPr>
            <w:tcW w:w="752"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2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675"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26"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01"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902" w:type="dxa"/>
            <w:vMerge w:val="continue"/>
            <w:shd w:val="clear" w:color="auto" w:fill="auto"/>
            <w:tcMar>
              <w:left w:w="108" w:type="dxa"/>
              <w:right w:w="108" w:type="dxa"/>
            </w:tcMar>
            <w:vAlign w:val="center"/>
          </w:tcPr>
          <w:p>
            <w:pPr>
              <w:spacing w:line="400" w:lineRule="exact"/>
              <w:rPr>
                <w:rFonts w:ascii="仿宋_GB2312" w:hAnsi="黑体" w:eastAsia="仿宋_GB2312"/>
                <w:color w:val="000000" w:themeColor="text1"/>
                <w:sz w:val="28"/>
                <w:szCs w:val="28"/>
              </w:rPr>
            </w:pPr>
          </w:p>
        </w:tc>
        <w:tc>
          <w:tcPr>
            <w:tcW w:w="1212" w:type="dxa"/>
            <w:vMerge w:val="continue"/>
            <w:shd w:val="clear" w:color="auto" w:fill="auto"/>
            <w:tcMar>
              <w:left w:w="108" w:type="dxa"/>
              <w:right w:w="108" w:type="dxa"/>
            </w:tcMar>
            <w:vAlign w:val="center"/>
          </w:tcPr>
          <w:p>
            <w:pPr>
              <w:spacing w:line="400" w:lineRule="exact"/>
              <w:rPr>
                <w:rFonts w:ascii="仿宋_GB2312" w:hAnsi="黑体" w:eastAsia="仿宋_GB2312"/>
                <w:color w:val="000000" w:themeColor="text1"/>
                <w:sz w:val="28"/>
                <w:szCs w:val="28"/>
              </w:rPr>
            </w:pPr>
          </w:p>
        </w:tc>
        <w:tc>
          <w:tcPr>
            <w:tcW w:w="2973" w:type="dxa"/>
            <w:shd w:val="clear" w:color="auto" w:fill="auto"/>
            <w:tcMar>
              <w:left w:w="108" w:type="dxa"/>
              <w:right w:w="108" w:type="dxa"/>
            </w:tcMar>
            <w:vAlign w:val="center"/>
          </w:tcPr>
          <w:p>
            <w:pPr>
              <w:widowControl/>
              <w:spacing w:line="400" w:lineRule="exact"/>
              <w:rPr>
                <w:rFonts w:ascii="仿宋_GB2312" w:hAnsi="黑体" w:eastAsia="仿宋_GB2312"/>
                <w:color w:val="000000" w:themeColor="text1"/>
                <w:kern w:val="0"/>
                <w:sz w:val="28"/>
                <w:szCs w:val="28"/>
              </w:rPr>
            </w:pPr>
            <w:r>
              <w:rPr>
                <w:rFonts w:hint="eastAsia" w:ascii="仿宋_GB2312" w:hAnsi="黑体" w:eastAsia="仿宋_GB2312"/>
                <w:color w:val="000000" w:themeColor="text1"/>
                <w:kern w:val="0"/>
                <w:sz w:val="28"/>
                <w:szCs w:val="28"/>
              </w:rPr>
              <w:t>4.</w:t>
            </w:r>
            <w:bookmarkStart w:id="3" w:name="_Hlk66974290"/>
            <w:r>
              <w:rPr>
                <w:rFonts w:hint="eastAsia" w:ascii="仿宋_GB2312" w:hAnsi="黑体" w:eastAsia="仿宋_GB2312"/>
                <w:color w:val="000000" w:themeColor="text1"/>
                <w:kern w:val="0"/>
                <w:sz w:val="28"/>
                <w:szCs w:val="28"/>
              </w:rPr>
              <w:t>保护第三方合法权益</w:t>
            </w:r>
            <w:bookmarkEnd w:id="3"/>
          </w:p>
        </w:tc>
        <w:tc>
          <w:tcPr>
            <w:tcW w:w="752"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2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675"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26"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01"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902" w:type="dxa"/>
            <w:vMerge w:val="continue"/>
            <w:shd w:val="clear" w:color="auto" w:fill="auto"/>
            <w:tcMar>
              <w:left w:w="108" w:type="dxa"/>
              <w:right w:w="108" w:type="dxa"/>
            </w:tcMar>
            <w:vAlign w:val="center"/>
          </w:tcPr>
          <w:p>
            <w:pPr>
              <w:spacing w:line="400" w:lineRule="exact"/>
              <w:rPr>
                <w:rFonts w:ascii="仿宋_GB2312" w:hAnsi="黑体" w:eastAsia="仿宋_GB2312"/>
                <w:color w:val="000000" w:themeColor="text1"/>
                <w:sz w:val="28"/>
                <w:szCs w:val="28"/>
              </w:rPr>
            </w:pPr>
          </w:p>
        </w:tc>
        <w:tc>
          <w:tcPr>
            <w:tcW w:w="1212" w:type="dxa"/>
            <w:vMerge w:val="continue"/>
            <w:shd w:val="clear" w:color="auto" w:fill="auto"/>
            <w:tcMar>
              <w:left w:w="108" w:type="dxa"/>
              <w:right w:w="108" w:type="dxa"/>
            </w:tcMar>
            <w:vAlign w:val="center"/>
          </w:tcPr>
          <w:p>
            <w:pPr>
              <w:spacing w:line="400" w:lineRule="exact"/>
              <w:rPr>
                <w:rFonts w:ascii="仿宋_GB2312" w:hAnsi="黑体" w:eastAsia="仿宋_GB2312"/>
                <w:color w:val="000000" w:themeColor="text1"/>
                <w:sz w:val="28"/>
                <w:szCs w:val="28"/>
              </w:rPr>
            </w:pPr>
          </w:p>
        </w:tc>
        <w:tc>
          <w:tcPr>
            <w:tcW w:w="2973" w:type="dxa"/>
            <w:shd w:val="clear" w:color="auto" w:fill="auto"/>
            <w:tcMar>
              <w:left w:w="108" w:type="dxa"/>
              <w:right w:w="108" w:type="dxa"/>
            </w:tcMar>
            <w:vAlign w:val="center"/>
          </w:tcPr>
          <w:p>
            <w:pPr>
              <w:widowControl/>
              <w:spacing w:line="400" w:lineRule="exact"/>
              <w:rPr>
                <w:rFonts w:ascii="仿宋_GB2312" w:hAnsi="黑体" w:eastAsia="仿宋_GB2312"/>
                <w:color w:val="000000" w:themeColor="text1"/>
                <w:kern w:val="0"/>
                <w:sz w:val="28"/>
                <w:szCs w:val="28"/>
              </w:rPr>
            </w:pPr>
            <w:r>
              <w:rPr>
                <w:rFonts w:hint="eastAsia" w:ascii="仿宋_GB2312" w:hAnsi="黑体" w:eastAsia="仿宋_GB2312"/>
                <w:color w:val="000000" w:themeColor="text1"/>
                <w:kern w:val="0"/>
                <w:sz w:val="28"/>
                <w:szCs w:val="28"/>
              </w:rPr>
              <w:t>5.属于三类内部事务信息</w:t>
            </w:r>
          </w:p>
        </w:tc>
        <w:tc>
          <w:tcPr>
            <w:tcW w:w="752"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2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675"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26"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01"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902" w:type="dxa"/>
            <w:vMerge w:val="continue"/>
            <w:shd w:val="clear" w:color="auto" w:fill="auto"/>
            <w:tcMar>
              <w:left w:w="108" w:type="dxa"/>
              <w:right w:w="108" w:type="dxa"/>
            </w:tcMar>
            <w:vAlign w:val="center"/>
          </w:tcPr>
          <w:p>
            <w:pPr>
              <w:spacing w:line="400" w:lineRule="exact"/>
              <w:rPr>
                <w:rFonts w:ascii="仿宋_GB2312" w:hAnsi="黑体" w:eastAsia="仿宋_GB2312"/>
                <w:color w:val="000000" w:themeColor="text1"/>
                <w:sz w:val="28"/>
                <w:szCs w:val="28"/>
              </w:rPr>
            </w:pPr>
          </w:p>
        </w:tc>
        <w:tc>
          <w:tcPr>
            <w:tcW w:w="1212" w:type="dxa"/>
            <w:vMerge w:val="continue"/>
            <w:shd w:val="clear" w:color="auto" w:fill="auto"/>
            <w:tcMar>
              <w:left w:w="108" w:type="dxa"/>
              <w:right w:w="108" w:type="dxa"/>
            </w:tcMar>
            <w:vAlign w:val="center"/>
          </w:tcPr>
          <w:p>
            <w:pPr>
              <w:spacing w:line="400" w:lineRule="exact"/>
              <w:rPr>
                <w:rFonts w:ascii="仿宋_GB2312" w:hAnsi="黑体" w:eastAsia="仿宋_GB2312"/>
                <w:color w:val="000000" w:themeColor="text1"/>
                <w:sz w:val="28"/>
                <w:szCs w:val="28"/>
              </w:rPr>
            </w:pPr>
          </w:p>
        </w:tc>
        <w:tc>
          <w:tcPr>
            <w:tcW w:w="2973" w:type="dxa"/>
            <w:shd w:val="clear" w:color="auto" w:fill="auto"/>
            <w:tcMar>
              <w:left w:w="108" w:type="dxa"/>
              <w:right w:w="108" w:type="dxa"/>
            </w:tcMar>
            <w:vAlign w:val="center"/>
          </w:tcPr>
          <w:p>
            <w:pPr>
              <w:widowControl/>
              <w:spacing w:line="400" w:lineRule="exact"/>
              <w:rPr>
                <w:rFonts w:ascii="仿宋_GB2312" w:hAnsi="黑体" w:eastAsia="仿宋_GB2312"/>
                <w:color w:val="000000" w:themeColor="text1"/>
                <w:kern w:val="0"/>
                <w:sz w:val="28"/>
                <w:szCs w:val="28"/>
              </w:rPr>
            </w:pPr>
            <w:r>
              <w:rPr>
                <w:rFonts w:hint="eastAsia" w:ascii="仿宋_GB2312" w:hAnsi="黑体" w:eastAsia="仿宋_GB2312"/>
                <w:color w:val="000000" w:themeColor="text1"/>
                <w:kern w:val="0"/>
                <w:sz w:val="28"/>
                <w:szCs w:val="28"/>
              </w:rPr>
              <w:t>6.</w:t>
            </w:r>
            <w:bookmarkStart w:id="4" w:name="_Hlk66974555"/>
            <w:r>
              <w:rPr>
                <w:rFonts w:hint="eastAsia" w:ascii="仿宋_GB2312" w:hAnsi="黑体" w:eastAsia="仿宋_GB2312"/>
                <w:color w:val="000000" w:themeColor="text1"/>
                <w:kern w:val="0"/>
                <w:sz w:val="28"/>
                <w:szCs w:val="28"/>
              </w:rPr>
              <w:t>属于四类过程性信息</w:t>
            </w:r>
            <w:bookmarkEnd w:id="4"/>
          </w:p>
        </w:tc>
        <w:tc>
          <w:tcPr>
            <w:tcW w:w="752"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1</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2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675"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26"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01"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902" w:type="dxa"/>
            <w:vMerge w:val="continue"/>
            <w:shd w:val="clear" w:color="auto" w:fill="auto"/>
            <w:tcMar>
              <w:left w:w="108" w:type="dxa"/>
              <w:right w:w="108" w:type="dxa"/>
            </w:tcMar>
            <w:vAlign w:val="center"/>
          </w:tcPr>
          <w:p>
            <w:pPr>
              <w:spacing w:line="400" w:lineRule="exact"/>
              <w:rPr>
                <w:rFonts w:ascii="仿宋_GB2312" w:hAnsi="黑体" w:eastAsia="仿宋_GB2312"/>
                <w:color w:val="000000" w:themeColor="text1"/>
                <w:sz w:val="28"/>
                <w:szCs w:val="28"/>
              </w:rPr>
            </w:pPr>
          </w:p>
        </w:tc>
        <w:tc>
          <w:tcPr>
            <w:tcW w:w="1212" w:type="dxa"/>
            <w:vMerge w:val="continue"/>
            <w:shd w:val="clear" w:color="auto" w:fill="auto"/>
            <w:tcMar>
              <w:left w:w="108" w:type="dxa"/>
              <w:right w:w="108" w:type="dxa"/>
            </w:tcMar>
            <w:vAlign w:val="center"/>
          </w:tcPr>
          <w:p>
            <w:pPr>
              <w:spacing w:line="400" w:lineRule="exact"/>
              <w:rPr>
                <w:rFonts w:ascii="仿宋_GB2312" w:hAnsi="黑体" w:eastAsia="仿宋_GB2312"/>
                <w:color w:val="000000" w:themeColor="text1"/>
                <w:sz w:val="28"/>
                <w:szCs w:val="28"/>
              </w:rPr>
            </w:pPr>
          </w:p>
        </w:tc>
        <w:tc>
          <w:tcPr>
            <w:tcW w:w="2973" w:type="dxa"/>
            <w:shd w:val="clear" w:color="auto" w:fill="auto"/>
            <w:tcMar>
              <w:left w:w="108" w:type="dxa"/>
              <w:right w:w="108" w:type="dxa"/>
            </w:tcMar>
            <w:vAlign w:val="center"/>
          </w:tcPr>
          <w:p>
            <w:pPr>
              <w:widowControl/>
              <w:spacing w:line="400" w:lineRule="exact"/>
              <w:rPr>
                <w:rFonts w:ascii="仿宋_GB2312" w:hAnsi="黑体" w:eastAsia="仿宋_GB2312"/>
                <w:color w:val="000000" w:themeColor="text1"/>
                <w:kern w:val="0"/>
                <w:sz w:val="28"/>
                <w:szCs w:val="28"/>
              </w:rPr>
            </w:pPr>
            <w:r>
              <w:rPr>
                <w:rFonts w:hint="eastAsia" w:ascii="仿宋_GB2312" w:hAnsi="黑体" w:eastAsia="仿宋_GB2312"/>
                <w:color w:val="000000" w:themeColor="text1"/>
                <w:kern w:val="0"/>
                <w:sz w:val="28"/>
                <w:szCs w:val="28"/>
              </w:rPr>
              <w:t>7.属于行政执法案卷</w:t>
            </w:r>
          </w:p>
        </w:tc>
        <w:tc>
          <w:tcPr>
            <w:tcW w:w="752"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1</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2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675"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26"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01"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902" w:type="dxa"/>
            <w:vMerge w:val="continue"/>
            <w:shd w:val="clear" w:color="auto" w:fill="auto"/>
            <w:tcMar>
              <w:left w:w="108" w:type="dxa"/>
              <w:right w:w="108" w:type="dxa"/>
            </w:tcMar>
            <w:vAlign w:val="center"/>
          </w:tcPr>
          <w:p>
            <w:pPr>
              <w:spacing w:line="400" w:lineRule="exact"/>
              <w:rPr>
                <w:rFonts w:ascii="仿宋_GB2312" w:hAnsi="黑体" w:eastAsia="仿宋_GB2312"/>
                <w:color w:val="000000" w:themeColor="text1"/>
                <w:sz w:val="28"/>
                <w:szCs w:val="28"/>
              </w:rPr>
            </w:pPr>
          </w:p>
        </w:tc>
        <w:tc>
          <w:tcPr>
            <w:tcW w:w="1212" w:type="dxa"/>
            <w:vMerge w:val="continue"/>
            <w:shd w:val="clear" w:color="auto" w:fill="auto"/>
            <w:tcMar>
              <w:left w:w="108" w:type="dxa"/>
              <w:right w:w="108" w:type="dxa"/>
            </w:tcMar>
            <w:vAlign w:val="center"/>
          </w:tcPr>
          <w:p>
            <w:pPr>
              <w:spacing w:line="400" w:lineRule="exact"/>
              <w:rPr>
                <w:rFonts w:ascii="仿宋_GB2312" w:hAnsi="黑体" w:eastAsia="仿宋_GB2312"/>
                <w:color w:val="000000" w:themeColor="text1"/>
                <w:sz w:val="28"/>
                <w:szCs w:val="28"/>
              </w:rPr>
            </w:pPr>
          </w:p>
        </w:tc>
        <w:tc>
          <w:tcPr>
            <w:tcW w:w="2973" w:type="dxa"/>
            <w:shd w:val="clear" w:color="auto" w:fill="auto"/>
            <w:tcMar>
              <w:left w:w="108" w:type="dxa"/>
              <w:right w:w="108" w:type="dxa"/>
            </w:tcMar>
            <w:vAlign w:val="center"/>
          </w:tcPr>
          <w:p>
            <w:pPr>
              <w:widowControl/>
              <w:spacing w:line="400" w:lineRule="exact"/>
              <w:rPr>
                <w:rFonts w:ascii="仿宋_GB2312" w:hAnsi="黑体" w:eastAsia="仿宋_GB2312"/>
                <w:color w:val="000000" w:themeColor="text1"/>
                <w:kern w:val="0"/>
                <w:sz w:val="28"/>
                <w:szCs w:val="28"/>
              </w:rPr>
            </w:pPr>
            <w:r>
              <w:rPr>
                <w:rFonts w:hint="eastAsia" w:ascii="仿宋_GB2312" w:hAnsi="黑体" w:eastAsia="仿宋_GB2312"/>
                <w:color w:val="000000" w:themeColor="text1"/>
                <w:kern w:val="0"/>
                <w:sz w:val="28"/>
                <w:szCs w:val="28"/>
              </w:rPr>
              <w:t>8.</w:t>
            </w:r>
            <w:bookmarkStart w:id="5" w:name="_Hlk66975211"/>
            <w:r>
              <w:rPr>
                <w:rFonts w:hint="eastAsia" w:ascii="仿宋_GB2312" w:hAnsi="黑体" w:eastAsia="仿宋_GB2312"/>
                <w:color w:val="000000" w:themeColor="text1"/>
                <w:kern w:val="0"/>
                <w:sz w:val="28"/>
                <w:szCs w:val="28"/>
              </w:rPr>
              <w:t>属于行政查询事项</w:t>
            </w:r>
            <w:bookmarkEnd w:id="5"/>
          </w:p>
        </w:tc>
        <w:tc>
          <w:tcPr>
            <w:tcW w:w="752"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2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675"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26"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01"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902" w:type="dxa"/>
            <w:vMerge w:val="continue"/>
            <w:shd w:val="clear" w:color="auto" w:fill="auto"/>
            <w:tcMar>
              <w:left w:w="108" w:type="dxa"/>
              <w:right w:w="108" w:type="dxa"/>
            </w:tcMar>
            <w:vAlign w:val="center"/>
          </w:tcPr>
          <w:p>
            <w:pPr>
              <w:spacing w:line="400" w:lineRule="exact"/>
              <w:rPr>
                <w:rFonts w:ascii="仿宋_GB2312" w:hAnsi="黑体" w:eastAsia="仿宋_GB2312"/>
                <w:color w:val="000000" w:themeColor="text1"/>
                <w:sz w:val="28"/>
                <w:szCs w:val="28"/>
              </w:rPr>
            </w:pPr>
          </w:p>
        </w:tc>
        <w:tc>
          <w:tcPr>
            <w:tcW w:w="1212" w:type="dxa"/>
            <w:vMerge w:val="restart"/>
            <w:shd w:val="clear" w:color="auto" w:fill="auto"/>
            <w:tcMar>
              <w:left w:w="108" w:type="dxa"/>
              <w:right w:w="108" w:type="dxa"/>
            </w:tcMar>
            <w:vAlign w:val="center"/>
          </w:tcPr>
          <w:p>
            <w:pPr>
              <w:widowControl/>
              <w:spacing w:line="400" w:lineRule="exact"/>
              <w:ind w:left="-107" w:leftChars="-51"/>
              <w:rPr>
                <w:rFonts w:ascii="仿宋_GB2312" w:hAnsi="黑体" w:eastAsia="仿宋_GB2312"/>
                <w:color w:val="000000" w:themeColor="text1"/>
                <w:sz w:val="28"/>
                <w:szCs w:val="28"/>
              </w:rPr>
            </w:pPr>
            <w:r>
              <w:rPr>
                <w:rFonts w:hint="eastAsia" w:ascii="仿宋_GB2312" w:hAnsi="黑体" w:eastAsia="仿宋_GB2312"/>
                <w:color w:val="000000" w:themeColor="text1"/>
                <w:kern w:val="0"/>
                <w:sz w:val="28"/>
                <w:szCs w:val="28"/>
              </w:rPr>
              <w:t>（四）无法提供</w:t>
            </w:r>
          </w:p>
        </w:tc>
        <w:tc>
          <w:tcPr>
            <w:tcW w:w="2973" w:type="dxa"/>
            <w:shd w:val="clear" w:color="auto" w:fill="auto"/>
            <w:tcMar>
              <w:left w:w="108" w:type="dxa"/>
              <w:right w:w="108" w:type="dxa"/>
            </w:tcMar>
            <w:vAlign w:val="center"/>
          </w:tcPr>
          <w:p>
            <w:pPr>
              <w:widowControl/>
              <w:spacing w:line="400" w:lineRule="exact"/>
              <w:rPr>
                <w:rFonts w:ascii="仿宋_GB2312" w:hAnsi="黑体" w:eastAsia="仿宋_GB2312"/>
                <w:color w:val="000000" w:themeColor="text1"/>
                <w:kern w:val="0"/>
                <w:sz w:val="28"/>
                <w:szCs w:val="28"/>
              </w:rPr>
            </w:pPr>
            <w:r>
              <w:rPr>
                <w:rFonts w:hint="eastAsia" w:ascii="仿宋_GB2312" w:hAnsi="黑体" w:eastAsia="仿宋_GB2312"/>
                <w:color w:val="000000" w:themeColor="text1"/>
                <w:kern w:val="0"/>
                <w:sz w:val="28"/>
                <w:szCs w:val="28"/>
              </w:rPr>
              <w:t>1.本机关不掌握相关政府信息</w:t>
            </w:r>
          </w:p>
        </w:tc>
        <w:tc>
          <w:tcPr>
            <w:tcW w:w="752"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2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675"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26"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01"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902" w:type="dxa"/>
            <w:vMerge w:val="continue"/>
            <w:shd w:val="clear" w:color="auto" w:fill="auto"/>
            <w:tcMar>
              <w:left w:w="108" w:type="dxa"/>
              <w:right w:w="108" w:type="dxa"/>
            </w:tcMar>
            <w:vAlign w:val="center"/>
          </w:tcPr>
          <w:p>
            <w:pPr>
              <w:spacing w:line="400" w:lineRule="exact"/>
              <w:rPr>
                <w:rFonts w:ascii="仿宋_GB2312" w:hAnsi="黑体" w:eastAsia="仿宋_GB2312"/>
                <w:color w:val="000000" w:themeColor="text1"/>
                <w:sz w:val="28"/>
                <w:szCs w:val="28"/>
              </w:rPr>
            </w:pPr>
          </w:p>
        </w:tc>
        <w:tc>
          <w:tcPr>
            <w:tcW w:w="1212" w:type="dxa"/>
            <w:vMerge w:val="continue"/>
            <w:shd w:val="clear" w:color="auto" w:fill="auto"/>
            <w:tcMar>
              <w:left w:w="108" w:type="dxa"/>
              <w:right w:w="108" w:type="dxa"/>
            </w:tcMar>
            <w:vAlign w:val="center"/>
          </w:tcPr>
          <w:p>
            <w:pPr>
              <w:spacing w:line="400" w:lineRule="exact"/>
              <w:ind w:left="-107" w:leftChars="-51"/>
              <w:rPr>
                <w:rFonts w:ascii="仿宋_GB2312" w:hAnsi="黑体" w:eastAsia="仿宋_GB2312"/>
                <w:color w:val="000000" w:themeColor="text1"/>
                <w:sz w:val="28"/>
                <w:szCs w:val="28"/>
              </w:rPr>
            </w:pPr>
          </w:p>
        </w:tc>
        <w:tc>
          <w:tcPr>
            <w:tcW w:w="2973" w:type="dxa"/>
            <w:shd w:val="clear" w:color="auto" w:fill="auto"/>
            <w:tcMar>
              <w:left w:w="108" w:type="dxa"/>
              <w:right w:w="108" w:type="dxa"/>
            </w:tcMar>
            <w:vAlign w:val="center"/>
          </w:tcPr>
          <w:p>
            <w:pPr>
              <w:widowControl/>
              <w:spacing w:line="400" w:lineRule="exact"/>
              <w:rPr>
                <w:rFonts w:ascii="仿宋_GB2312" w:hAnsi="黑体" w:eastAsia="仿宋_GB2312"/>
                <w:color w:val="000000" w:themeColor="text1"/>
                <w:kern w:val="0"/>
                <w:sz w:val="28"/>
                <w:szCs w:val="28"/>
              </w:rPr>
            </w:pPr>
            <w:r>
              <w:rPr>
                <w:rFonts w:hint="eastAsia" w:ascii="仿宋_GB2312" w:hAnsi="黑体" w:eastAsia="仿宋_GB2312"/>
                <w:color w:val="000000" w:themeColor="text1"/>
                <w:kern w:val="0"/>
                <w:sz w:val="28"/>
                <w:szCs w:val="28"/>
              </w:rPr>
              <w:t>2.</w:t>
            </w:r>
            <w:bookmarkStart w:id="6" w:name="_Hlk66975392"/>
            <w:r>
              <w:rPr>
                <w:rFonts w:hint="eastAsia" w:ascii="仿宋_GB2312" w:hAnsi="黑体" w:eastAsia="仿宋_GB2312"/>
                <w:color w:val="000000" w:themeColor="text1"/>
                <w:kern w:val="0"/>
                <w:sz w:val="28"/>
                <w:szCs w:val="28"/>
              </w:rPr>
              <w:t>没有现成信息需要另行制作</w:t>
            </w:r>
            <w:bookmarkEnd w:id="6"/>
          </w:p>
        </w:tc>
        <w:tc>
          <w:tcPr>
            <w:tcW w:w="752"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2</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2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675"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26"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01"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902" w:type="dxa"/>
            <w:vMerge w:val="continue"/>
            <w:shd w:val="clear" w:color="auto" w:fill="auto"/>
            <w:tcMar>
              <w:left w:w="108" w:type="dxa"/>
              <w:right w:w="108" w:type="dxa"/>
            </w:tcMar>
            <w:vAlign w:val="center"/>
          </w:tcPr>
          <w:p>
            <w:pPr>
              <w:spacing w:line="400" w:lineRule="exact"/>
              <w:rPr>
                <w:rFonts w:ascii="仿宋_GB2312" w:hAnsi="黑体" w:eastAsia="仿宋_GB2312"/>
                <w:color w:val="000000" w:themeColor="text1"/>
                <w:sz w:val="28"/>
                <w:szCs w:val="28"/>
              </w:rPr>
            </w:pPr>
          </w:p>
        </w:tc>
        <w:tc>
          <w:tcPr>
            <w:tcW w:w="1212" w:type="dxa"/>
            <w:vMerge w:val="continue"/>
            <w:shd w:val="clear" w:color="auto" w:fill="auto"/>
            <w:tcMar>
              <w:left w:w="108" w:type="dxa"/>
              <w:right w:w="108" w:type="dxa"/>
            </w:tcMar>
            <w:vAlign w:val="center"/>
          </w:tcPr>
          <w:p>
            <w:pPr>
              <w:spacing w:line="400" w:lineRule="exact"/>
              <w:ind w:left="-107" w:leftChars="-51"/>
              <w:rPr>
                <w:rFonts w:ascii="仿宋_GB2312" w:hAnsi="黑体" w:eastAsia="仿宋_GB2312"/>
                <w:color w:val="000000" w:themeColor="text1"/>
                <w:sz w:val="28"/>
                <w:szCs w:val="28"/>
              </w:rPr>
            </w:pPr>
          </w:p>
        </w:tc>
        <w:tc>
          <w:tcPr>
            <w:tcW w:w="2973" w:type="dxa"/>
            <w:shd w:val="clear" w:color="auto" w:fill="auto"/>
            <w:tcMar>
              <w:left w:w="108" w:type="dxa"/>
              <w:right w:w="108" w:type="dxa"/>
            </w:tcMar>
            <w:vAlign w:val="center"/>
          </w:tcPr>
          <w:p>
            <w:pPr>
              <w:widowControl/>
              <w:spacing w:line="400" w:lineRule="exact"/>
              <w:rPr>
                <w:rFonts w:ascii="仿宋_GB2312" w:hAnsi="黑体" w:eastAsia="仿宋_GB2312"/>
                <w:color w:val="000000" w:themeColor="text1"/>
                <w:kern w:val="0"/>
                <w:sz w:val="28"/>
                <w:szCs w:val="28"/>
              </w:rPr>
            </w:pPr>
            <w:r>
              <w:rPr>
                <w:rFonts w:hint="eastAsia" w:ascii="仿宋_GB2312" w:hAnsi="黑体" w:eastAsia="仿宋_GB2312"/>
                <w:color w:val="000000" w:themeColor="text1"/>
                <w:kern w:val="0"/>
                <w:sz w:val="28"/>
                <w:szCs w:val="28"/>
              </w:rPr>
              <w:t>3.</w:t>
            </w:r>
            <w:bookmarkStart w:id="7" w:name="_Hlk66975466"/>
            <w:r>
              <w:rPr>
                <w:rFonts w:hint="eastAsia" w:ascii="仿宋_GB2312" w:hAnsi="黑体" w:eastAsia="仿宋_GB2312"/>
                <w:color w:val="000000" w:themeColor="text1"/>
                <w:kern w:val="0"/>
                <w:sz w:val="28"/>
                <w:szCs w:val="28"/>
              </w:rPr>
              <w:t>补正后申请内容仍不明确</w:t>
            </w:r>
            <w:bookmarkEnd w:id="7"/>
          </w:p>
        </w:tc>
        <w:tc>
          <w:tcPr>
            <w:tcW w:w="752"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2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675"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26"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01"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902" w:type="dxa"/>
            <w:vMerge w:val="continue"/>
            <w:shd w:val="clear" w:color="auto" w:fill="auto"/>
            <w:tcMar>
              <w:left w:w="108" w:type="dxa"/>
              <w:right w:w="108" w:type="dxa"/>
            </w:tcMar>
            <w:vAlign w:val="center"/>
          </w:tcPr>
          <w:p>
            <w:pPr>
              <w:spacing w:line="400" w:lineRule="exact"/>
              <w:rPr>
                <w:rFonts w:ascii="仿宋_GB2312" w:hAnsi="黑体" w:eastAsia="仿宋_GB2312"/>
                <w:color w:val="000000" w:themeColor="text1"/>
                <w:sz w:val="28"/>
                <w:szCs w:val="28"/>
              </w:rPr>
            </w:pPr>
          </w:p>
        </w:tc>
        <w:tc>
          <w:tcPr>
            <w:tcW w:w="1212" w:type="dxa"/>
            <w:vMerge w:val="restart"/>
            <w:shd w:val="clear" w:color="auto" w:fill="auto"/>
            <w:tcMar>
              <w:left w:w="108" w:type="dxa"/>
              <w:right w:w="108" w:type="dxa"/>
            </w:tcMar>
            <w:vAlign w:val="center"/>
          </w:tcPr>
          <w:p>
            <w:pPr>
              <w:widowControl/>
              <w:spacing w:line="400" w:lineRule="exact"/>
              <w:ind w:left="-107" w:leftChars="-51"/>
              <w:rPr>
                <w:rFonts w:ascii="仿宋_GB2312" w:hAnsi="黑体" w:eastAsia="仿宋_GB2312"/>
                <w:color w:val="000000" w:themeColor="text1"/>
                <w:sz w:val="28"/>
                <w:szCs w:val="28"/>
              </w:rPr>
            </w:pPr>
            <w:r>
              <w:rPr>
                <w:rFonts w:hint="eastAsia" w:ascii="仿宋_GB2312" w:hAnsi="黑体" w:eastAsia="仿宋_GB2312"/>
                <w:color w:val="000000" w:themeColor="text1"/>
                <w:kern w:val="0"/>
                <w:sz w:val="28"/>
                <w:szCs w:val="28"/>
              </w:rPr>
              <w:t>（五）不予处理</w:t>
            </w:r>
          </w:p>
        </w:tc>
        <w:tc>
          <w:tcPr>
            <w:tcW w:w="2973" w:type="dxa"/>
            <w:shd w:val="clear" w:color="auto" w:fill="auto"/>
            <w:tcMar>
              <w:left w:w="108" w:type="dxa"/>
              <w:right w:w="108" w:type="dxa"/>
            </w:tcMar>
            <w:vAlign w:val="center"/>
          </w:tcPr>
          <w:p>
            <w:pPr>
              <w:widowControl/>
              <w:spacing w:line="400" w:lineRule="exact"/>
              <w:rPr>
                <w:rFonts w:ascii="仿宋_GB2312" w:hAnsi="黑体" w:eastAsia="仿宋_GB2312"/>
                <w:color w:val="000000" w:themeColor="text1"/>
                <w:kern w:val="0"/>
                <w:sz w:val="28"/>
                <w:szCs w:val="28"/>
              </w:rPr>
            </w:pPr>
            <w:r>
              <w:rPr>
                <w:rFonts w:hint="eastAsia" w:ascii="仿宋_GB2312" w:hAnsi="黑体" w:eastAsia="仿宋_GB2312"/>
                <w:color w:val="000000" w:themeColor="text1"/>
                <w:kern w:val="0"/>
                <w:sz w:val="28"/>
                <w:szCs w:val="28"/>
              </w:rPr>
              <w:t>1.</w:t>
            </w:r>
            <w:bookmarkStart w:id="8" w:name="_Hlk66975537"/>
            <w:r>
              <w:rPr>
                <w:rFonts w:hint="eastAsia" w:ascii="仿宋_GB2312" w:hAnsi="黑体" w:eastAsia="仿宋_GB2312"/>
                <w:color w:val="000000" w:themeColor="text1"/>
                <w:kern w:val="0"/>
                <w:sz w:val="28"/>
                <w:szCs w:val="28"/>
              </w:rPr>
              <w:t>信访举报投诉类申请</w:t>
            </w:r>
            <w:bookmarkEnd w:id="8"/>
          </w:p>
        </w:tc>
        <w:tc>
          <w:tcPr>
            <w:tcW w:w="752"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2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675"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26"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01"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902" w:type="dxa"/>
            <w:vMerge w:val="continue"/>
            <w:shd w:val="clear" w:color="auto" w:fill="auto"/>
            <w:tcMar>
              <w:left w:w="108" w:type="dxa"/>
              <w:right w:w="108" w:type="dxa"/>
            </w:tcMar>
            <w:vAlign w:val="center"/>
          </w:tcPr>
          <w:p>
            <w:pPr>
              <w:spacing w:line="400" w:lineRule="exact"/>
              <w:rPr>
                <w:rFonts w:ascii="仿宋_GB2312" w:hAnsi="黑体" w:eastAsia="仿宋_GB2312"/>
                <w:color w:val="000000" w:themeColor="text1"/>
                <w:sz w:val="28"/>
                <w:szCs w:val="28"/>
              </w:rPr>
            </w:pPr>
          </w:p>
        </w:tc>
        <w:tc>
          <w:tcPr>
            <w:tcW w:w="1212" w:type="dxa"/>
            <w:vMerge w:val="continue"/>
            <w:shd w:val="clear" w:color="auto" w:fill="auto"/>
            <w:tcMar>
              <w:left w:w="108" w:type="dxa"/>
              <w:right w:w="108" w:type="dxa"/>
            </w:tcMar>
            <w:vAlign w:val="center"/>
          </w:tcPr>
          <w:p>
            <w:pPr>
              <w:spacing w:line="400" w:lineRule="exact"/>
              <w:rPr>
                <w:rFonts w:ascii="仿宋_GB2312" w:hAnsi="黑体" w:eastAsia="仿宋_GB2312"/>
                <w:color w:val="000000" w:themeColor="text1"/>
                <w:sz w:val="28"/>
                <w:szCs w:val="28"/>
              </w:rPr>
            </w:pPr>
          </w:p>
        </w:tc>
        <w:tc>
          <w:tcPr>
            <w:tcW w:w="2973" w:type="dxa"/>
            <w:shd w:val="clear" w:color="auto" w:fill="auto"/>
            <w:tcMar>
              <w:left w:w="108" w:type="dxa"/>
              <w:right w:w="108" w:type="dxa"/>
            </w:tcMar>
            <w:vAlign w:val="center"/>
          </w:tcPr>
          <w:p>
            <w:pPr>
              <w:widowControl/>
              <w:spacing w:line="400" w:lineRule="exact"/>
              <w:rPr>
                <w:rFonts w:ascii="仿宋_GB2312" w:hAnsi="黑体" w:eastAsia="仿宋_GB2312"/>
                <w:color w:val="000000" w:themeColor="text1"/>
                <w:kern w:val="0"/>
                <w:sz w:val="28"/>
                <w:szCs w:val="28"/>
              </w:rPr>
            </w:pPr>
            <w:r>
              <w:rPr>
                <w:rFonts w:hint="eastAsia" w:ascii="仿宋_GB2312" w:hAnsi="黑体" w:eastAsia="仿宋_GB2312"/>
                <w:color w:val="000000" w:themeColor="text1"/>
                <w:kern w:val="0"/>
                <w:sz w:val="28"/>
                <w:szCs w:val="28"/>
              </w:rPr>
              <w:t>2.重复申请</w:t>
            </w:r>
          </w:p>
        </w:tc>
        <w:tc>
          <w:tcPr>
            <w:tcW w:w="752"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2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675"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26"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01"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902" w:type="dxa"/>
            <w:vMerge w:val="continue"/>
            <w:shd w:val="clear" w:color="auto" w:fill="auto"/>
            <w:tcMar>
              <w:left w:w="108" w:type="dxa"/>
              <w:right w:w="108" w:type="dxa"/>
            </w:tcMar>
            <w:vAlign w:val="center"/>
          </w:tcPr>
          <w:p>
            <w:pPr>
              <w:spacing w:line="400" w:lineRule="exact"/>
              <w:rPr>
                <w:rFonts w:ascii="仿宋_GB2312" w:hAnsi="黑体" w:eastAsia="仿宋_GB2312"/>
                <w:color w:val="000000" w:themeColor="text1"/>
                <w:sz w:val="28"/>
                <w:szCs w:val="28"/>
              </w:rPr>
            </w:pPr>
          </w:p>
        </w:tc>
        <w:tc>
          <w:tcPr>
            <w:tcW w:w="1212" w:type="dxa"/>
            <w:vMerge w:val="continue"/>
            <w:shd w:val="clear" w:color="auto" w:fill="auto"/>
            <w:tcMar>
              <w:left w:w="108" w:type="dxa"/>
              <w:right w:w="108" w:type="dxa"/>
            </w:tcMar>
            <w:vAlign w:val="center"/>
          </w:tcPr>
          <w:p>
            <w:pPr>
              <w:spacing w:line="400" w:lineRule="exact"/>
              <w:rPr>
                <w:rFonts w:ascii="仿宋_GB2312" w:hAnsi="黑体" w:eastAsia="仿宋_GB2312"/>
                <w:color w:val="000000" w:themeColor="text1"/>
                <w:sz w:val="28"/>
                <w:szCs w:val="28"/>
              </w:rPr>
            </w:pPr>
          </w:p>
        </w:tc>
        <w:tc>
          <w:tcPr>
            <w:tcW w:w="2973" w:type="dxa"/>
            <w:shd w:val="clear" w:color="auto" w:fill="auto"/>
            <w:tcMar>
              <w:left w:w="108" w:type="dxa"/>
              <w:right w:w="108" w:type="dxa"/>
            </w:tcMar>
            <w:vAlign w:val="center"/>
          </w:tcPr>
          <w:p>
            <w:pPr>
              <w:widowControl/>
              <w:spacing w:line="400" w:lineRule="exact"/>
              <w:rPr>
                <w:rFonts w:ascii="仿宋_GB2312" w:hAnsi="黑体" w:eastAsia="仿宋_GB2312"/>
                <w:color w:val="000000" w:themeColor="text1"/>
                <w:sz w:val="28"/>
                <w:szCs w:val="28"/>
              </w:rPr>
            </w:pPr>
            <w:r>
              <w:rPr>
                <w:rFonts w:hint="eastAsia" w:ascii="仿宋_GB2312" w:hAnsi="黑体" w:eastAsia="仿宋_GB2312"/>
                <w:color w:val="000000" w:themeColor="text1"/>
                <w:kern w:val="0"/>
                <w:sz w:val="28"/>
                <w:szCs w:val="28"/>
              </w:rPr>
              <w:t>3.要求提供公开出版物</w:t>
            </w:r>
          </w:p>
        </w:tc>
        <w:tc>
          <w:tcPr>
            <w:tcW w:w="752"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2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675"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26"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01"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902" w:type="dxa"/>
            <w:vMerge w:val="continue"/>
            <w:shd w:val="clear" w:color="auto" w:fill="auto"/>
            <w:tcMar>
              <w:left w:w="108" w:type="dxa"/>
              <w:right w:w="108" w:type="dxa"/>
            </w:tcMar>
            <w:vAlign w:val="center"/>
          </w:tcPr>
          <w:p>
            <w:pPr>
              <w:spacing w:line="400" w:lineRule="exact"/>
              <w:rPr>
                <w:rFonts w:ascii="仿宋_GB2312" w:hAnsi="黑体" w:eastAsia="仿宋_GB2312"/>
                <w:color w:val="000000" w:themeColor="text1"/>
                <w:sz w:val="28"/>
                <w:szCs w:val="28"/>
              </w:rPr>
            </w:pPr>
          </w:p>
        </w:tc>
        <w:tc>
          <w:tcPr>
            <w:tcW w:w="1212" w:type="dxa"/>
            <w:vMerge w:val="continue"/>
            <w:shd w:val="clear" w:color="auto" w:fill="auto"/>
            <w:tcMar>
              <w:left w:w="108" w:type="dxa"/>
              <w:right w:w="108" w:type="dxa"/>
            </w:tcMar>
            <w:vAlign w:val="center"/>
          </w:tcPr>
          <w:p>
            <w:pPr>
              <w:spacing w:line="400" w:lineRule="exact"/>
              <w:rPr>
                <w:rFonts w:ascii="仿宋_GB2312" w:hAnsi="黑体" w:eastAsia="仿宋_GB2312"/>
                <w:color w:val="000000" w:themeColor="text1"/>
                <w:sz w:val="28"/>
                <w:szCs w:val="28"/>
              </w:rPr>
            </w:pPr>
          </w:p>
        </w:tc>
        <w:tc>
          <w:tcPr>
            <w:tcW w:w="2973" w:type="dxa"/>
            <w:shd w:val="clear" w:color="auto" w:fill="auto"/>
            <w:tcMar>
              <w:left w:w="108" w:type="dxa"/>
              <w:right w:w="108" w:type="dxa"/>
            </w:tcMar>
            <w:vAlign w:val="center"/>
          </w:tcPr>
          <w:p>
            <w:pPr>
              <w:widowControl/>
              <w:spacing w:line="400" w:lineRule="exact"/>
              <w:rPr>
                <w:rFonts w:ascii="仿宋_GB2312" w:hAnsi="黑体" w:eastAsia="仿宋_GB2312"/>
                <w:color w:val="000000" w:themeColor="text1"/>
                <w:sz w:val="28"/>
                <w:szCs w:val="28"/>
              </w:rPr>
            </w:pPr>
            <w:r>
              <w:rPr>
                <w:rFonts w:hint="eastAsia" w:ascii="仿宋_GB2312" w:hAnsi="黑体" w:eastAsia="仿宋_GB2312"/>
                <w:color w:val="000000" w:themeColor="text1"/>
                <w:kern w:val="0"/>
                <w:sz w:val="28"/>
                <w:szCs w:val="28"/>
              </w:rPr>
              <w:t>4.无正当理由大量反复申请</w:t>
            </w:r>
          </w:p>
        </w:tc>
        <w:tc>
          <w:tcPr>
            <w:tcW w:w="752"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2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675"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26"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01"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02" w:type="dxa"/>
            <w:vMerge w:val="continue"/>
            <w:shd w:val="clear" w:color="auto" w:fill="auto"/>
            <w:tcMar>
              <w:left w:w="108" w:type="dxa"/>
              <w:right w:w="108" w:type="dxa"/>
            </w:tcMar>
            <w:vAlign w:val="center"/>
          </w:tcPr>
          <w:p>
            <w:pPr>
              <w:spacing w:line="400" w:lineRule="exact"/>
              <w:rPr>
                <w:rFonts w:ascii="仿宋_GB2312" w:hAnsi="黑体" w:eastAsia="仿宋_GB2312"/>
                <w:color w:val="000000" w:themeColor="text1"/>
                <w:sz w:val="28"/>
                <w:szCs w:val="28"/>
              </w:rPr>
            </w:pPr>
          </w:p>
        </w:tc>
        <w:tc>
          <w:tcPr>
            <w:tcW w:w="1212" w:type="dxa"/>
            <w:vMerge w:val="continue"/>
            <w:shd w:val="clear" w:color="auto" w:fill="auto"/>
            <w:tcMar>
              <w:left w:w="108" w:type="dxa"/>
              <w:right w:w="108" w:type="dxa"/>
            </w:tcMar>
            <w:vAlign w:val="center"/>
          </w:tcPr>
          <w:p>
            <w:pPr>
              <w:spacing w:line="400" w:lineRule="exact"/>
              <w:rPr>
                <w:rFonts w:ascii="仿宋_GB2312" w:hAnsi="黑体" w:eastAsia="仿宋_GB2312"/>
                <w:color w:val="000000" w:themeColor="text1"/>
                <w:sz w:val="28"/>
                <w:szCs w:val="28"/>
              </w:rPr>
            </w:pPr>
          </w:p>
        </w:tc>
        <w:tc>
          <w:tcPr>
            <w:tcW w:w="2973" w:type="dxa"/>
            <w:shd w:val="clear" w:color="auto" w:fill="auto"/>
            <w:tcMar>
              <w:left w:w="108" w:type="dxa"/>
              <w:right w:w="108" w:type="dxa"/>
            </w:tcMar>
            <w:vAlign w:val="center"/>
          </w:tcPr>
          <w:p>
            <w:pPr>
              <w:widowControl/>
              <w:spacing w:line="400" w:lineRule="exact"/>
              <w:rPr>
                <w:rFonts w:ascii="仿宋_GB2312" w:hAnsi="黑体" w:eastAsia="仿宋_GB2312"/>
                <w:color w:val="000000" w:themeColor="text1"/>
                <w:kern w:val="0"/>
                <w:sz w:val="28"/>
                <w:szCs w:val="28"/>
              </w:rPr>
            </w:pPr>
            <w:r>
              <w:rPr>
                <w:rFonts w:hint="eastAsia" w:ascii="仿宋_GB2312" w:hAnsi="黑体" w:eastAsia="仿宋_GB2312"/>
                <w:color w:val="000000" w:themeColor="text1"/>
                <w:kern w:val="0"/>
                <w:sz w:val="28"/>
                <w:szCs w:val="28"/>
              </w:rPr>
              <w:t>5.要求行政机关确认或重新出具已获取信息</w:t>
            </w:r>
          </w:p>
        </w:tc>
        <w:tc>
          <w:tcPr>
            <w:tcW w:w="752"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2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675"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26"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01"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02" w:type="dxa"/>
            <w:vMerge w:val="continue"/>
            <w:shd w:val="clear" w:color="auto" w:fill="auto"/>
            <w:tcMar>
              <w:left w:w="108" w:type="dxa"/>
              <w:right w:w="108" w:type="dxa"/>
            </w:tcMar>
            <w:vAlign w:val="center"/>
          </w:tcPr>
          <w:p>
            <w:pPr>
              <w:spacing w:line="400" w:lineRule="exact"/>
              <w:rPr>
                <w:rFonts w:ascii="仿宋_GB2312" w:hAnsi="黑体" w:eastAsia="仿宋_GB2312"/>
                <w:color w:val="000000" w:themeColor="text1"/>
                <w:sz w:val="28"/>
                <w:szCs w:val="28"/>
              </w:rPr>
            </w:pPr>
          </w:p>
        </w:tc>
        <w:tc>
          <w:tcPr>
            <w:tcW w:w="1212" w:type="dxa"/>
            <w:vMerge w:val="restart"/>
            <w:shd w:val="clear" w:color="auto" w:fill="auto"/>
            <w:tcMar>
              <w:left w:w="108" w:type="dxa"/>
              <w:right w:w="108" w:type="dxa"/>
            </w:tcMar>
            <w:vAlign w:val="center"/>
          </w:tcPr>
          <w:p>
            <w:pPr>
              <w:widowControl/>
              <w:spacing w:line="400" w:lineRule="exact"/>
              <w:rPr>
                <w:rFonts w:ascii="仿宋_GB2312" w:hAnsi="黑体" w:eastAsia="仿宋_GB2312"/>
                <w:color w:val="000000" w:themeColor="text1"/>
                <w:kern w:val="0"/>
                <w:sz w:val="28"/>
                <w:szCs w:val="28"/>
              </w:rPr>
            </w:pPr>
            <w:r>
              <w:rPr>
                <w:rFonts w:hint="eastAsia" w:ascii="仿宋_GB2312" w:hAnsi="黑体" w:eastAsia="仿宋_GB2312"/>
                <w:color w:val="000000" w:themeColor="text1"/>
                <w:kern w:val="0"/>
                <w:sz w:val="28"/>
                <w:szCs w:val="28"/>
              </w:rPr>
              <w:t>（六）其他处理</w:t>
            </w:r>
          </w:p>
        </w:tc>
        <w:tc>
          <w:tcPr>
            <w:tcW w:w="2973" w:type="dxa"/>
            <w:shd w:val="clear" w:color="auto" w:fill="auto"/>
            <w:vAlign w:val="center"/>
          </w:tcPr>
          <w:p>
            <w:pPr>
              <w:widowControl/>
              <w:spacing w:line="400" w:lineRule="exact"/>
              <w:rPr>
                <w:rFonts w:ascii="仿宋_GB2312" w:hAnsi="楷体" w:eastAsia="仿宋_GB2312"/>
                <w:color w:val="000000" w:themeColor="text1"/>
                <w:sz w:val="28"/>
                <w:szCs w:val="28"/>
              </w:rPr>
            </w:pPr>
            <w:r>
              <w:rPr>
                <w:rFonts w:hint="eastAsia" w:ascii="仿宋_GB2312" w:hAnsi="楷体" w:eastAsia="仿宋_GB2312"/>
                <w:color w:val="000000" w:themeColor="text1"/>
                <w:sz w:val="28"/>
                <w:szCs w:val="28"/>
              </w:rPr>
              <w:t>1.申请人无正当理由逾期不补正、行政机关不再处理其政府信息公开申请</w:t>
            </w:r>
          </w:p>
        </w:tc>
        <w:tc>
          <w:tcPr>
            <w:tcW w:w="752"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2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675"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26"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01"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02" w:type="dxa"/>
            <w:vMerge w:val="continue"/>
            <w:shd w:val="clear" w:color="auto" w:fill="auto"/>
            <w:tcMar>
              <w:left w:w="108" w:type="dxa"/>
              <w:right w:w="108" w:type="dxa"/>
            </w:tcMar>
            <w:vAlign w:val="center"/>
          </w:tcPr>
          <w:p>
            <w:pPr>
              <w:spacing w:line="400" w:lineRule="exact"/>
              <w:rPr>
                <w:rFonts w:ascii="仿宋_GB2312" w:hAnsi="黑体" w:eastAsia="仿宋_GB2312"/>
                <w:color w:val="000000" w:themeColor="text1"/>
                <w:sz w:val="28"/>
                <w:szCs w:val="28"/>
              </w:rPr>
            </w:pPr>
          </w:p>
        </w:tc>
        <w:tc>
          <w:tcPr>
            <w:tcW w:w="1212" w:type="dxa"/>
            <w:vMerge w:val="continue"/>
            <w:shd w:val="clear" w:color="auto" w:fill="auto"/>
            <w:tcMar>
              <w:left w:w="108" w:type="dxa"/>
              <w:right w:w="108" w:type="dxa"/>
            </w:tcMar>
            <w:vAlign w:val="center"/>
          </w:tcPr>
          <w:p>
            <w:pPr>
              <w:widowControl/>
              <w:spacing w:line="400" w:lineRule="exact"/>
              <w:rPr>
                <w:rFonts w:ascii="仿宋_GB2312" w:hAnsi="黑体" w:eastAsia="仿宋_GB2312"/>
                <w:color w:val="000000" w:themeColor="text1"/>
                <w:kern w:val="0"/>
                <w:sz w:val="28"/>
                <w:szCs w:val="28"/>
              </w:rPr>
            </w:pPr>
          </w:p>
        </w:tc>
        <w:tc>
          <w:tcPr>
            <w:tcW w:w="2973" w:type="dxa"/>
            <w:shd w:val="clear" w:color="auto" w:fill="auto"/>
            <w:vAlign w:val="center"/>
          </w:tcPr>
          <w:p>
            <w:pPr>
              <w:widowControl/>
              <w:spacing w:line="400" w:lineRule="exact"/>
              <w:rPr>
                <w:rFonts w:ascii="仿宋_GB2312" w:hAnsi="黑体" w:eastAsia="仿宋_GB2312"/>
                <w:color w:val="000000" w:themeColor="text1"/>
                <w:kern w:val="0"/>
                <w:sz w:val="28"/>
                <w:szCs w:val="28"/>
              </w:rPr>
            </w:pPr>
            <w:r>
              <w:rPr>
                <w:rFonts w:hint="eastAsia" w:ascii="仿宋_GB2312" w:hAnsi="楷体" w:eastAsia="仿宋_GB2312"/>
                <w:color w:val="000000" w:themeColor="text1"/>
                <w:sz w:val="28"/>
                <w:szCs w:val="28"/>
              </w:rPr>
              <w:t>2.申请人逾期未按收费通知要求缴纳费用、行政机关不再处理其政府信息公开申请</w:t>
            </w:r>
          </w:p>
        </w:tc>
        <w:tc>
          <w:tcPr>
            <w:tcW w:w="752"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2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675"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26"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01"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02" w:type="dxa"/>
            <w:vMerge w:val="continue"/>
            <w:shd w:val="clear" w:color="auto" w:fill="auto"/>
            <w:tcMar>
              <w:left w:w="108" w:type="dxa"/>
              <w:right w:w="108" w:type="dxa"/>
            </w:tcMar>
            <w:vAlign w:val="center"/>
          </w:tcPr>
          <w:p>
            <w:pPr>
              <w:spacing w:line="400" w:lineRule="exact"/>
              <w:rPr>
                <w:rFonts w:ascii="仿宋_GB2312" w:hAnsi="黑体" w:eastAsia="仿宋_GB2312"/>
                <w:color w:val="000000" w:themeColor="text1"/>
                <w:sz w:val="28"/>
                <w:szCs w:val="28"/>
              </w:rPr>
            </w:pPr>
          </w:p>
        </w:tc>
        <w:tc>
          <w:tcPr>
            <w:tcW w:w="1212" w:type="dxa"/>
            <w:vMerge w:val="continue"/>
            <w:shd w:val="clear" w:color="auto" w:fill="auto"/>
            <w:tcMar>
              <w:left w:w="108" w:type="dxa"/>
              <w:right w:w="108" w:type="dxa"/>
            </w:tcMar>
            <w:vAlign w:val="center"/>
          </w:tcPr>
          <w:p>
            <w:pPr>
              <w:widowControl/>
              <w:spacing w:line="400" w:lineRule="exact"/>
              <w:rPr>
                <w:rFonts w:ascii="仿宋_GB2312" w:hAnsi="黑体" w:eastAsia="仿宋_GB2312"/>
                <w:color w:val="000000" w:themeColor="text1"/>
                <w:kern w:val="0"/>
                <w:sz w:val="28"/>
                <w:szCs w:val="28"/>
              </w:rPr>
            </w:pPr>
          </w:p>
        </w:tc>
        <w:tc>
          <w:tcPr>
            <w:tcW w:w="2973" w:type="dxa"/>
            <w:shd w:val="clear" w:color="auto" w:fill="auto"/>
            <w:vAlign w:val="center"/>
          </w:tcPr>
          <w:p>
            <w:pPr>
              <w:widowControl/>
              <w:spacing w:line="400" w:lineRule="exact"/>
              <w:rPr>
                <w:rFonts w:ascii="仿宋_GB2312" w:hAnsi="黑体" w:eastAsia="仿宋_GB2312"/>
                <w:color w:val="000000" w:themeColor="text1"/>
                <w:kern w:val="0"/>
                <w:sz w:val="28"/>
                <w:szCs w:val="28"/>
              </w:rPr>
            </w:pPr>
            <w:r>
              <w:rPr>
                <w:rFonts w:hint="eastAsia" w:ascii="仿宋_GB2312" w:hAnsi="楷体" w:eastAsia="仿宋_GB2312"/>
                <w:color w:val="000000" w:themeColor="text1"/>
                <w:sz w:val="28"/>
                <w:szCs w:val="28"/>
              </w:rPr>
              <w:t>3.其他</w:t>
            </w:r>
          </w:p>
        </w:tc>
        <w:tc>
          <w:tcPr>
            <w:tcW w:w="752"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2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675"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26"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01"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02" w:type="dxa"/>
            <w:vMerge w:val="continue"/>
            <w:shd w:val="clear" w:color="auto" w:fill="auto"/>
            <w:tcMar>
              <w:left w:w="108" w:type="dxa"/>
              <w:right w:w="108" w:type="dxa"/>
            </w:tcMar>
            <w:vAlign w:val="center"/>
          </w:tcPr>
          <w:p>
            <w:pPr>
              <w:spacing w:line="400" w:lineRule="exact"/>
              <w:rPr>
                <w:rFonts w:ascii="仿宋_GB2312" w:hAnsi="黑体" w:eastAsia="仿宋_GB2312"/>
                <w:color w:val="000000" w:themeColor="text1"/>
                <w:sz w:val="28"/>
                <w:szCs w:val="28"/>
              </w:rPr>
            </w:pPr>
          </w:p>
        </w:tc>
        <w:tc>
          <w:tcPr>
            <w:tcW w:w="4185" w:type="dxa"/>
            <w:gridSpan w:val="2"/>
            <w:shd w:val="clear" w:color="auto" w:fill="auto"/>
            <w:tcMar>
              <w:left w:w="108" w:type="dxa"/>
              <w:right w:w="108" w:type="dxa"/>
            </w:tcMar>
            <w:vAlign w:val="center"/>
          </w:tcPr>
          <w:p>
            <w:pPr>
              <w:widowControl/>
              <w:spacing w:line="400" w:lineRule="exact"/>
              <w:rPr>
                <w:rFonts w:ascii="仿宋_GB2312" w:hAnsi="黑体" w:eastAsia="仿宋_GB2312"/>
                <w:color w:val="000000" w:themeColor="text1"/>
                <w:kern w:val="0"/>
                <w:sz w:val="28"/>
                <w:szCs w:val="28"/>
              </w:rPr>
            </w:pPr>
            <w:r>
              <w:rPr>
                <w:rFonts w:hint="eastAsia" w:ascii="仿宋_GB2312" w:hAnsi="黑体" w:eastAsia="仿宋_GB2312"/>
                <w:color w:val="000000" w:themeColor="text1"/>
                <w:kern w:val="0"/>
                <w:sz w:val="28"/>
                <w:szCs w:val="28"/>
              </w:rPr>
              <w:t>（七）总计</w:t>
            </w:r>
          </w:p>
        </w:tc>
        <w:tc>
          <w:tcPr>
            <w:tcW w:w="752"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26</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2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675"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26"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01"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87" w:type="dxa"/>
            <w:gridSpan w:val="3"/>
            <w:shd w:val="clear" w:color="auto" w:fill="auto"/>
            <w:tcMar>
              <w:left w:w="108" w:type="dxa"/>
              <w:right w:w="108" w:type="dxa"/>
            </w:tcMar>
            <w:vAlign w:val="center"/>
          </w:tcPr>
          <w:p>
            <w:pPr>
              <w:widowControl/>
              <w:spacing w:line="400" w:lineRule="exact"/>
              <w:rPr>
                <w:rFonts w:ascii="仿宋_GB2312" w:hAnsi="黑体" w:eastAsia="仿宋_GB2312"/>
                <w:color w:val="000000" w:themeColor="text1"/>
                <w:kern w:val="0"/>
                <w:sz w:val="28"/>
                <w:szCs w:val="28"/>
              </w:rPr>
            </w:pPr>
            <w:r>
              <w:rPr>
                <w:rFonts w:hint="eastAsia" w:ascii="仿宋_GB2312" w:hAnsi="黑体" w:eastAsia="仿宋_GB2312"/>
                <w:color w:val="000000" w:themeColor="text1"/>
                <w:kern w:val="0"/>
                <w:sz w:val="28"/>
                <w:szCs w:val="28"/>
              </w:rPr>
              <w:t>四、结转下年度继续办理</w:t>
            </w:r>
          </w:p>
        </w:tc>
        <w:tc>
          <w:tcPr>
            <w:tcW w:w="752"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4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20"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675"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526"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701" w:type="dxa"/>
            <w:shd w:val="clear" w:color="auto" w:fill="auto"/>
            <w:tcMar>
              <w:left w:w="108" w:type="dxa"/>
              <w:right w:w="108" w:type="dxa"/>
            </w:tcMar>
            <w:vAlign w:val="center"/>
          </w:tcPr>
          <w:p>
            <w:pPr>
              <w:widowControl/>
              <w:spacing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r>
    </w:tbl>
    <w:p>
      <w:pPr>
        <w:spacing w:line="560" w:lineRule="exact"/>
        <w:ind w:firstLine="320" w:firstLineChars="100"/>
        <w:rPr>
          <w:rFonts w:ascii="黑体" w:hAnsi="黑体" w:eastAsia="黑体" w:cs="黑体"/>
          <w:sz w:val="32"/>
          <w:szCs w:val="32"/>
        </w:rPr>
      </w:pPr>
      <w:r>
        <w:rPr>
          <w:rFonts w:hint="eastAsia" w:ascii="黑体" w:hAnsi="黑体" w:eastAsia="黑体" w:cs="黑体"/>
          <w:sz w:val="32"/>
          <w:szCs w:val="32"/>
        </w:rPr>
        <w:t>四、政府信息公开行政复议、行政诉讼情况</w:t>
      </w:r>
    </w:p>
    <w:tbl>
      <w:tblPr>
        <w:tblStyle w:val="5"/>
        <w:tblW w:w="9505"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32"/>
        <w:gridCol w:w="632"/>
        <w:gridCol w:w="632"/>
        <w:gridCol w:w="632"/>
        <w:gridCol w:w="693"/>
        <w:gridCol w:w="577"/>
        <w:gridCol w:w="632"/>
        <w:gridCol w:w="632"/>
        <w:gridCol w:w="632"/>
        <w:gridCol w:w="636"/>
        <w:gridCol w:w="632"/>
        <w:gridCol w:w="632"/>
        <w:gridCol w:w="632"/>
        <w:gridCol w:w="634"/>
        <w:gridCol w:w="634"/>
        <w:gridCol w:w="11"/>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PrEx>
        <w:trPr>
          <w:trHeight w:val="534" w:hRule="atLeast"/>
          <w:jc w:val="center"/>
        </w:trPr>
        <w:tc>
          <w:tcPr>
            <w:tcW w:w="3221" w:type="dxa"/>
            <w:gridSpan w:val="5"/>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仿宋_GB2312" w:hAnsi="黑体" w:eastAsia="仿宋_GB2312"/>
                <w:color w:val="000000" w:themeColor="text1"/>
                <w:sz w:val="28"/>
                <w:szCs w:val="28"/>
              </w:rPr>
            </w:pPr>
            <w:r>
              <w:rPr>
                <w:rFonts w:hint="eastAsia" w:ascii="仿宋_GB2312" w:hAnsi="黑体" w:eastAsia="仿宋_GB2312"/>
                <w:color w:val="000000" w:themeColor="text1"/>
                <w:kern w:val="0"/>
                <w:sz w:val="28"/>
                <w:szCs w:val="28"/>
              </w:rPr>
              <w:t>行政复议</w:t>
            </w:r>
          </w:p>
        </w:tc>
        <w:tc>
          <w:tcPr>
            <w:tcW w:w="6284" w:type="dxa"/>
            <w:gridSpan w:val="11"/>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仿宋_GB2312" w:hAnsi="黑体" w:eastAsia="仿宋_GB2312"/>
                <w:color w:val="000000" w:themeColor="text1"/>
                <w:sz w:val="28"/>
                <w:szCs w:val="28"/>
              </w:rPr>
            </w:pPr>
            <w:r>
              <w:rPr>
                <w:rFonts w:hint="eastAsia" w:ascii="仿宋_GB2312" w:hAnsi="黑体" w:eastAsia="仿宋_GB2312"/>
                <w:color w:val="000000" w:themeColor="text1"/>
                <w:kern w:val="0"/>
                <w:sz w:val="28"/>
                <w:szCs w:val="28"/>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87" w:hRule="atLeast"/>
          <w:jc w:val="center"/>
        </w:trPr>
        <w:tc>
          <w:tcPr>
            <w:tcW w:w="632"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ind w:left="-149" w:leftChars="-71" w:right="-170" w:rightChars="-81"/>
              <w:jc w:val="center"/>
              <w:rPr>
                <w:rFonts w:ascii="仿宋_GB2312" w:hAnsi="黑体" w:eastAsia="仿宋_GB2312"/>
                <w:color w:val="000000" w:themeColor="text1"/>
                <w:kern w:val="0"/>
                <w:sz w:val="28"/>
                <w:szCs w:val="28"/>
              </w:rPr>
            </w:pPr>
            <w:r>
              <w:rPr>
                <w:rFonts w:hint="eastAsia" w:ascii="仿宋_GB2312" w:hAnsi="黑体" w:eastAsia="仿宋_GB2312"/>
                <w:color w:val="000000" w:themeColor="text1"/>
                <w:kern w:val="0"/>
                <w:sz w:val="28"/>
                <w:szCs w:val="28"/>
              </w:rPr>
              <w:t>结果</w:t>
            </w:r>
          </w:p>
          <w:p>
            <w:pPr>
              <w:widowControl/>
              <w:spacing w:line="400" w:lineRule="exact"/>
              <w:ind w:left="-149" w:leftChars="-71" w:right="-170" w:rightChars="-81"/>
              <w:jc w:val="center"/>
              <w:rPr>
                <w:rFonts w:ascii="仿宋_GB2312" w:hAnsi="黑体" w:eastAsia="仿宋_GB2312"/>
                <w:color w:val="000000" w:themeColor="text1"/>
                <w:sz w:val="28"/>
                <w:szCs w:val="28"/>
              </w:rPr>
            </w:pPr>
            <w:r>
              <w:rPr>
                <w:rFonts w:hint="eastAsia" w:ascii="仿宋_GB2312" w:hAnsi="黑体" w:eastAsia="仿宋_GB2312"/>
                <w:color w:val="000000" w:themeColor="text1"/>
                <w:kern w:val="0"/>
                <w:sz w:val="28"/>
                <w:szCs w:val="28"/>
              </w:rPr>
              <w:t>维持</w:t>
            </w:r>
          </w:p>
        </w:tc>
        <w:tc>
          <w:tcPr>
            <w:tcW w:w="632"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ind w:left="-43" w:leftChars="-21" w:right="-132" w:rightChars="-63" w:hanging="1"/>
              <w:jc w:val="center"/>
              <w:rPr>
                <w:rFonts w:ascii="仿宋_GB2312" w:hAnsi="黑体" w:eastAsia="仿宋_GB2312"/>
                <w:color w:val="000000" w:themeColor="text1"/>
                <w:sz w:val="28"/>
                <w:szCs w:val="28"/>
              </w:rPr>
            </w:pPr>
            <w:r>
              <w:rPr>
                <w:rFonts w:hint="eastAsia" w:ascii="仿宋_GB2312" w:hAnsi="黑体" w:eastAsia="仿宋_GB2312"/>
                <w:color w:val="000000" w:themeColor="text1"/>
                <w:kern w:val="0"/>
                <w:sz w:val="28"/>
                <w:szCs w:val="28"/>
              </w:rPr>
              <w:t>结果纠正</w:t>
            </w:r>
          </w:p>
        </w:tc>
        <w:tc>
          <w:tcPr>
            <w:tcW w:w="632"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ind w:left="-82" w:leftChars="-39" w:right="-97" w:rightChars="-46"/>
              <w:jc w:val="center"/>
              <w:rPr>
                <w:rFonts w:ascii="仿宋_GB2312" w:hAnsi="黑体" w:eastAsia="仿宋_GB2312"/>
                <w:color w:val="000000" w:themeColor="text1"/>
                <w:sz w:val="28"/>
                <w:szCs w:val="28"/>
              </w:rPr>
            </w:pPr>
            <w:r>
              <w:rPr>
                <w:rFonts w:hint="eastAsia" w:ascii="仿宋_GB2312" w:hAnsi="黑体" w:eastAsia="仿宋_GB2312"/>
                <w:color w:val="000000" w:themeColor="text1"/>
                <w:kern w:val="0"/>
                <w:sz w:val="28"/>
                <w:szCs w:val="28"/>
              </w:rPr>
              <w:t>其他结果</w:t>
            </w:r>
          </w:p>
        </w:tc>
        <w:tc>
          <w:tcPr>
            <w:tcW w:w="632"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ind w:left="-118" w:leftChars="-56" w:right="-118" w:rightChars="-56"/>
              <w:jc w:val="center"/>
              <w:rPr>
                <w:rFonts w:ascii="仿宋_GB2312" w:hAnsi="黑体" w:eastAsia="仿宋_GB2312"/>
                <w:color w:val="000000" w:themeColor="text1"/>
                <w:kern w:val="0"/>
                <w:sz w:val="28"/>
                <w:szCs w:val="28"/>
              </w:rPr>
            </w:pPr>
            <w:r>
              <w:rPr>
                <w:rFonts w:hint="eastAsia" w:ascii="仿宋_GB2312" w:hAnsi="黑体" w:eastAsia="仿宋_GB2312"/>
                <w:color w:val="000000" w:themeColor="text1"/>
                <w:kern w:val="0"/>
                <w:sz w:val="28"/>
                <w:szCs w:val="28"/>
              </w:rPr>
              <w:t>尚未</w:t>
            </w:r>
          </w:p>
          <w:p>
            <w:pPr>
              <w:widowControl/>
              <w:spacing w:line="400" w:lineRule="exact"/>
              <w:ind w:left="-118" w:leftChars="-56" w:right="-118" w:rightChars="-56"/>
              <w:jc w:val="center"/>
              <w:rPr>
                <w:rFonts w:ascii="仿宋_GB2312" w:hAnsi="黑体" w:eastAsia="仿宋_GB2312"/>
                <w:color w:val="000000" w:themeColor="text1"/>
                <w:sz w:val="28"/>
                <w:szCs w:val="28"/>
              </w:rPr>
            </w:pPr>
            <w:r>
              <w:rPr>
                <w:rFonts w:hint="eastAsia" w:ascii="仿宋_GB2312" w:hAnsi="黑体" w:eastAsia="仿宋_GB2312"/>
                <w:color w:val="000000" w:themeColor="text1"/>
                <w:kern w:val="0"/>
                <w:sz w:val="28"/>
                <w:szCs w:val="28"/>
              </w:rPr>
              <w:t>审结</w:t>
            </w:r>
          </w:p>
        </w:tc>
        <w:tc>
          <w:tcPr>
            <w:tcW w:w="689"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仿宋_GB2312" w:hAnsi="黑体" w:eastAsia="仿宋_GB2312"/>
                <w:color w:val="000000" w:themeColor="text1"/>
                <w:kern w:val="0"/>
                <w:sz w:val="28"/>
                <w:szCs w:val="28"/>
              </w:rPr>
            </w:pPr>
            <w:r>
              <w:rPr>
                <w:rFonts w:hint="eastAsia" w:ascii="仿宋_GB2312" w:hAnsi="黑体" w:eastAsia="仿宋_GB2312"/>
                <w:color w:val="000000" w:themeColor="text1"/>
                <w:kern w:val="0"/>
                <w:sz w:val="28"/>
                <w:szCs w:val="28"/>
              </w:rPr>
              <w:t>总</w:t>
            </w:r>
          </w:p>
          <w:p>
            <w:pPr>
              <w:widowControl/>
              <w:spacing w:line="400" w:lineRule="exact"/>
              <w:jc w:val="center"/>
              <w:rPr>
                <w:rFonts w:ascii="仿宋_GB2312" w:hAnsi="黑体" w:eastAsia="仿宋_GB2312"/>
                <w:color w:val="000000" w:themeColor="text1"/>
                <w:sz w:val="28"/>
                <w:szCs w:val="28"/>
              </w:rPr>
            </w:pPr>
            <w:r>
              <w:rPr>
                <w:rFonts w:hint="eastAsia" w:ascii="仿宋_GB2312" w:hAnsi="黑体" w:eastAsia="仿宋_GB2312"/>
                <w:color w:val="000000" w:themeColor="text1"/>
                <w:kern w:val="0"/>
                <w:sz w:val="28"/>
                <w:szCs w:val="28"/>
              </w:rPr>
              <w:t>计</w:t>
            </w:r>
          </w:p>
        </w:tc>
        <w:tc>
          <w:tcPr>
            <w:tcW w:w="3112"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仿宋_GB2312" w:hAnsi="黑体" w:eastAsia="仿宋_GB2312"/>
                <w:color w:val="000000" w:themeColor="text1"/>
                <w:sz w:val="28"/>
                <w:szCs w:val="28"/>
              </w:rPr>
            </w:pPr>
            <w:r>
              <w:rPr>
                <w:rFonts w:hint="eastAsia" w:ascii="仿宋_GB2312" w:hAnsi="黑体" w:eastAsia="仿宋_GB2312"/>
                <w:color w:val="000000" w:themeColor="text1"/>
                <w:kern w:val="0"/>
                <w:sz w:val="28"/>
                <w:szCs w:val="28"/>
              </w:rPr>
              <w:t>未经复议直接起诉</w:t>
            </w:r>
          </w:p>
        </w:tc>
        <w:tc>
          <w:tcPr>
            <w:tcW w:w="3172" w:type="dxa"/>
            <w:gridSpan w:val="6"/>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仿宋_GB2312" w:hAnsi="黑体" w:eastAsia="仿宋_GB2312"/>
                <w:color w:val="000000" w:themeColor="text1"/>
                <w:sz w:val="28"/>
                <w:szCs w:val="28"/>
              </w:rPr>
            </w:pPr>
            <w:bookmarkStart w:id="9" w:name="_Hlk67039688"/>
            <w:r>
              <w:rPr>
                <w:rFonts w:hint="eastAsia" w:ascii="仿宋_GB2312" w:hAnsi="黑体" w:eastAsia="仿宋_GB2312"/>
                <w:color w:val="000000" w:themeColor="text1"/>
                <w:kern w:val="0"/>
                <w:sz w:val="28"/>
                <w:szCs w:val="28"/>
              </w:rPr>
              <w:t>复议后起诉</w:t>
            </w:r>
            <w:bookmarkEnd w:id="9"/>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gridAfter w:val="1"/>
          <w:wAfter w:w="11" w:type="dxa"/>
          <w:trHeight w:val="973" w:hRule="atLeast"/>
          <w:jc w:val="center"/>
        </w:trPr>
        <w:tc>
          <w:tcPr>
            <w:tcW w:w="632"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spacing w:line="400" w:lineRule="exact"/>
              <w:rPr>
                <w:rFonts w:ascii="仿宋_GB2312" w:hAnsi="黑体" w:eastAsia="仿宋_GB2312"/>
                <w:color w:val="000000" w:themeColor="text1"/>
                <w:sz w:val="28"/>
                <w:szCs w:val="28"/>
              </w:rPr>
            </w:pPr>
          </w:p>
        </w:tc>
        <w:tc>
          <w:tcPr>
            <w:tcW w:w="632"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400" w:lineRule="exact"/>
              <w:rPr>
                <w:rFonts w:ascii="仿宋_GB2312" w:hAnsi="黑体" w:eastAsia="仿宋_GB2312"/>
                <w:color w:val="000000" w:themeColor="text1"/>
                <w:sz w:val="28"/>
                <w:szCs w:val="28"/>
              </w:rPr>
            </w:pPr>
          </w:p>
        </w:tc>
        <w:tc>
          <w:tcPr>
            <w:tcW w:w="63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spacing w:line="400" w:lineRule="exact"/>
              <w:rPr>
                <w:rFonts w:ascii="仿宋_GB2312" w:hAnsi="黑体" w:eastAsia="仿宋_GB2312"/>
                <w:color w:val="000000" w:themeColor="text1"/>
                <w:sz w:val="28"/>
                <w:szCs w:val="28"/>
              </w:rPr>
            </w:pPr>
          </w:p>
        </w:tc>
        <w:tc>
          <w:tcPr>
            <w:tcW w:w="63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spacing w:line="400" w:lineRule="exact"/>
              <w:rPr>
                <w:rFonts w:ascii="仿宋_GB2312" w:hAnsi="黑体" w:eastAsia="仿宋_GB2312"/>
                <w:color w:val="000000" w:themeColor="text1"/>
                <w:sz w:val="28"/>
                <w:szCs w:val="28"/>
              </w:rPr>
            </w:pPr>
          </w:p>
        </w:tc>
        <w:tc>
          <w:tcPr>
            <w:tcW w:w="689"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spacing w:line="400" w:lineRule="exact"/>
              <w:rPr>
                <w:rFonts w:ascii="仿宋_GB2312" w:hAnsi="黑体" w:eastAsia="仿宋_GB2312"/>
                <w:color w:val="000000" w:themeColor="text1"/>
                <w:sz w:val="28"/>
                <w:szCs w:val="28"/>
              </w:rPr>
            </w:pPr>
          </w:p>
        </w:tc>
        <w:tc>
          <w:tcPr>
            <w:tcW w:w="57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ind w:left="-105" w:leftChars="-50" w:right="-126" w:rightChars="-60"/>
              <w:jc w:val="center"/>
              <w:rPr>
                <w:rFonts w:ascii="仿宋_GB2312" w:hAnsi="黑体" w:eastAsia="仿宋_GB2312"/>
                <w:color w:val="000000" w:themeColor="text1"/>
                <w:sz w:val="28"/>
                <w:szCs w:val="28"/>
              </w:rPr>
            </w:pPr>
            <w:r>
              <w:rPr>
                <w:rFonts w:hint="eastAsia" w:ascii="仿宋_GB2312" w:hAnsi="黑体" w:eastAsia="仿宋_GB2312"/>
                <w:color w:val="000000" w:themeColor="text1"/>
                <w:kern w:val="0"/>
                <w:sz w:val="28"/>
                <w:szCs w:val="28"/>
              </w:rPr>
              <w:t>结果维持</w:t>
            </w:r>
          </w:p>
        </w:tc>
        <w:tc>
          <w:tcPr>
            <w:tcW w:w="63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ind w:left="-86" w:leftChars="-41" w:right="-88" w:rightChars="-42"/>
              <w:jc w:val="center"/>
              <w:rPr>
                <w:rFonts w:ascii="仿宋_GB2312" w:hAnsi="黑体" w:eastAsia="仿宋_GB2312"/>
                <w:color w:val="000000" w:themeColor="text1"/>
                <w:sz w:val="28"/>
                <w:szCs w:val="28"/>
              </w:rPr>
            </w:pPr>
            <w:r>
              <w:rPr>
                <w:rFonts w:hint="eastAsia" w:ascii="仿宋_GB2312" w:hAnsi="黑体" w:eastAsia="仿宋_GB2312"/>
                <w:color w:val="000000" w:themeColor="text1"/>
                <w:kern w:val="0"/>
                <w:sz w:val="28"/>
                <w:szCs w:val="28"/>
              </w:rPr>
              <w:t>结果纠正</w:t>
            </w:r>
          </w:p>
        </w:tc>
        <w:tc>
          <w:tcPr>
            <w:tcW w:w="633"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ind w:left="-126" w:leftChars="-60" w:right="-136" w:rightChars="-65"/>
              <w:jc w:val="center"/>
              <w:rPr>
                <w:rFonts w:ascii="仿宋_GB2312" w:hAnsi="黑体" w:eastAsia="仿宋_GB2312"/>
                <w:color w:val="000000" w:themeColor="text1"/>
                <w:kern w:val="0"/>
                <w:sz w:val="28"/>
                <w:szCs w:val="28"/>
              </w:rPr>
            </w:pPr>
            <w:r>
              <w:rPr>
                <w:rFonts w:hint="eastAsia" w:ascii="仿宋_GB2312" w:hAnsi="黑体" w:eastAsia="仿宋_GB2312"/>
                <w:color w:val="000000" w:themeColor="text1"/>
                <w:kern w:val="0"/>
                <w:sz w:val="28"/>
                <w:szCs w:val="28"/>
              </w:rPr>
              <w:t>其他</w:t>
            </w:r>
          </w:p>
          <w:p>
            <w:pPr>
              <w:widowControl/>
              <w:spacing w:line="400" w:lineRule="exact"/>
              <w:ind w:left="-126" w:leftChars="-60" w:right="-136" w:rightChars="-65"/>
              <w:jc w:val="center"/>
              <w:rPr>
                <w:rFonts w:ascii="仿宋_GB2312" w:hAnsi="黑体" w:eastAsia="仿宋_GB2312"/>
                <w:color w:val="000000" w:themeColor="text1"/>
                <w:sz w:val="28"/>
                <w:szCs w:val="28"/>
              </w:rPr>
            </w:pPr>
            <w:r>
              <w:rPr>
                <w:rFonts w:hint="eastAsia" w:ascii="仿宋_GB2312" w:hAnsi="黑体" w:eastAsia="仿宋_GB2312"/>
                <w:color w:val="000000" w:themeColor="text1"/>
                <w:kern w:val="0"/>
                <w:sz w:val="28"/>
                <w:szCs w:val="28"/>
              </w:rPr>
              <w:t>结果</w:t>
            </w:r>
          </w:p>
        </w:tc>
        <w:tc>
          <w:tcPr>
            <w:tcW w:w="633"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ind w:left="-164" w:leftChars="-78" w:right="-153" w:rightChars="-73"/>
              <w:jc w:val="center"/>
              <w:rPr>
                <w:rFonts w:ascii="仿宋_GB2312" w:hAnsi="黑体" w:eastAsia="仿宋_GB2312"/>
                <w:color w:val="000000" w:themeColor="text1"/>
                <w:kern w:val="0"/>
                <w:sz w:val="28"/>
                <w:szCs w:val="28"/>
              </w:rPr>
            </w:pPr>
            <w:r>
              <w:rPr>
                <w:rFonts w:hint="eastAsia" w:ascii="仿宋_GB2312" w:hAnsi="黑体" w:eastAsia="仿宋_GB2312"/>
                <w:color w:val="000000" w:themeColor="text1"/>
                <w:kern w:val="0"/>
                <w:sz w:val="28"/>
                <w:szCs w:val="28"/>
              </w:rPr>
              <w:t>尚未</w:t>
            </w:r>
          </w:p>
          <w:p>
            <w:pPr>
              <w:widowControl/>
              <w:spacing w:line="400" w:lineRule="exact"/>
              <w:ind w:left="-164" w:leftChars="-78" w:right="-153" w:rightChars="-73"/>
              <w:jc w:val="center"/>
              <w:rPr>
                <w:rFonts w:ascii="仿宋_GB2312" w:hAnsi="黑体" w:eastAsia="仿宋_GB2312"/>
                <w:color w:val="000000" w:themeColor="text1"/>
                <w:sz w:val="28"/>
                <w:szCs w:val="28"/>
              </w:rPr>
            </w:pPr>
            <w:r>
              <w:rPr>
                <w:rFonts w:hint="eastAsia" w:ascii="仿宋_GB2312" w:hAnsi="黑体" w:eastAsia="仿宋_GB2312"/>
                <w:color w:val="000000" w:themeColor="text1"/>
                <w:kern w:val="0"/>
                <w:sz w:val="28"/>
                <w:szCs w:val="28"/>
              </w:rPr>
              <w:t>审结</w:t>
            </w:r>
          </w:p>
        </w:tc>
        <w:tc>
          <w:tcPr>
            <w:tcW w:w="633"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仿宋_GB2312" w:hAnsi="黑体" w:eastAsia="仿宋_GB2312"/>
                <w:color w:val="000000" w:themeColor="text1"/>
                <w:sz w:val="28"/>
                <w:szCs w:val="28"/>
              </w:rPr>
            </w:pPr>
            <w:r>
              <w:rPr>
                <w:rFonts w:hint="eastAsia" w:ascii="仿宋_GB2312" w:hAnsi="黑体" w:eastAsia="仿宋_GB2312"/>
                <w:color w:val="000000" w:themeColor="text1"/>
                <w:kern w:val="0"/>
                <w:sz w:val="28"/>
                <w:szCs w:val="28"/>
              </w:rPr>
              <w:t>总计</w:t>
            </w:r>
          </w:p>
        </w:tc>
        <w:tc>
          <w:tcPr>
            <w:tcW w:w="633"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ind w:left="-99" w:leftChars="-47" w:right="-78" w:rightChars="-37"/>
              <w:jc w:val="center"/>
              <w:rPr>
                <w:rFonts w:ascii="仿宋_GB2312" w:hAnsi="黑体" w:eastAsia="仿宋_GB2312"/>
                <w:color w:val="000000" w:themeColor="text1"/>
                <w:sz w:val="28"/>
                <w:szCs w:val="28"/>
              </w:rPr>
            </w:pPr>
            <w:r>
              <w:rPr>
                <w:rFonts w:hint="eastAsia" w:ascii="仿宋_GB2312" w:hAnsi="黑体" w:eastAsia="仿宋_GB2312"/>
                <w:color w:val="000000" w:themeColor="text1"/>
                <w:kern w:val="0"/>
                <w:sz w:val="28"/>
                <w:szCs w:val="28"/>
              </w:rPr>
              <w:t>结果维持</w:t>
            </w:r>
          </w:p>
        </w:tc>
        <w:tc>
          <w:tcPr>
            <w:tcW w:w="633"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ind w:left="-136" w:leftChars="-65" w:right="-124" w:rightChars="-59"/>
              <w:jc w:val="center"/>
              <w:rPr>
                <w:rFonts w:ascii="仿宋_GB2312" w:hAnsi="黑体" w:eastAsia="仿宋_GB2312"/>
                <w:color w:val="000000" w:themeColor="text1"/>
                <w:kern w:val="0"/>
                <w:sz w:val="28"/>
                <w:szCs w:val="28"/>
              </w:rPr>
            </w:pPr>
            <w:r>
              <w:rPr>
                <w:rFonts w:hint="eastAsia" w:ascii="仿宋_GB2312" w:hAnsi="黑体" w:eastAsia="仿宋_GB2312"/>
                <w:color w:val="000000" w:themeColor="text1"/>
                <w:kern w:val="0"/>
                <w:sz w:val="28"/>
                <w:szCs w:val="28"/>
              </w:rPr>
              <w:t>结果</w:t>
            </w:r>
          </w:p>
          <w:p>
            <w:pPr>
              <w:widowControl/>
              <w:spacing w:line="400" w:lineRule="exact"/>
              <w:ind w:left="-136" w:leftChars="-65" w:right="-124" w:rightChars="-59"/>
              <w:jc w:val="center"/>
              <w:rPr>
                <w:rFonts w:ascii="仿宋_GB2312" w:hAnsi="黑体" w:eastAsia="仿宋_GB2312"/>
                <w:color w:val="000000" w:themeColor="text1"/>
                <w:sz w:val="28"/>
                <w:szCs w:val="28"/>
              </w:rPr>
            </w:pPr>
            <w:r>
              <w:rPr>
                <w:rFonts w:hint="eastAsia" w:ascii="仿宋_GB2312" w:hAnsi="黑体" w:eastAsia="仿宋_GB2312"/>
                <w:color w:val="000000" w:themeColor="text1"/>
                <w:kern w:val="0"/>
                <w:sz w:val="28"/>
                <w:szCs w:val="28"/>
              </w:rPr>
              <w:t>纠正</w:t>
            </w:r>
          </w:p>
        </w:tc>
        <w:tc>
          <w:tcPr>
            <w:tcW w:w="633"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ind w:left="-173" w:leftChars="-83" w:right="-134" w:rightChars="-64" w:hanging="1"/>
              <w:jc w:val="center"/>
              <w:rPr>
                <w:rFonts w:ascii="仿宋_GB2312" w:hAnsi="黑体" w:eastAsia="仿宋_GB2312"/>
                <w:color w:val="000000" w:themeColor="text1"/>
                <w:kern w:val="0"/>
                <w:sz w:val="28"/>
                <w:szCs w:val="28"/>
              </w:rPr>
            </w:pPr>
            <w:r>
              <w:rPr>
                <w:rFonts w:hint="eastAsia" w:ascii="仿宋_GB2312" w:hAnsi="黑体" w:eastAsia="仿宋_GB2312"/>
                <w:color w:val="000000" w:themeColor="text1"/>
                <w:kern w:val="0"/>
                <w:sz w:val="28"/>
                <w:szCs w:val="28"/>
              </w:rPr>
              <w:t>其他</w:t>
            </w:r>
          </w:p>
          <w:p>
            <w:pPr>
              <w:widowControl/>
              <w:spacing w:line="400" w:lineRule="exact"/>
              <w:ind w:left="-173" w:leftChars="-83" w:right="-134" w:rightChars="-64" w:hanging="1"/>
              <w:jc w:val="center"/>
              <w:rPr>
                <w:rFonts w:ascii="仿宋_GB2312" w:hAnsi="黑体" w:eastAsia="仿宋_GB2312"/>
                <w:color w:val="000000" w:themeColor="text1"/>
                <w:sz w:val="28"/>
                <w:szCs w:val="28"/>
              </w:rPr>
            </w:pPr>
            <w:r>
              <w:rPr>
                <w:rFonts w:hint="eastAsia" w:ascii="仿宋_GB2312" w:hAnsi="黑体" w:eastAsia="仿宋_GB2312"/>
                <w:color w:val="000000" w:themeColor="text1"/>
                <w:kern w:val="0"/>
                <w:sz w:val="28"/>
                <w:szCs w:val="28"/>
              </w:rPr>
              <w:t>结果</w:t>
            </w:r>
          </w:p>
        </w:tc>
        <w:tc>
          <w:tcPr>
            <w:tcW w:w="63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ind w:left="-67" w:leftChars="-33" w:right="-105" w:rightChars="-50" w:hanging="2" w:hangingChars="1"/>
              <w:jc w:val="center"/>
              <w:rPr>
                <w:rFonts w:ascii="仿宋_GB2312" w:hAnsi="黑体" w:eastAsia="仿宋_GB2312"/>
                <w:color w:val="000000" w:themeColor="text1"/>
                <w:sz w:val="28"/>
                <w:szCs w:val="28"/>
              </w:rPr>
            </w:pPr>
            <w:r>
              <w:rPr>
                <w:rFonts w:hint="eastAsia" w:ascii="仿宋_GB2312" w:hAnsi="黑体" w:eastAsia="仿宋_GB2312"/>
                <w:color w:val="000000" w:themeColor="text1"/>
                <w:kern w:val="0"/>
                <w:sz w:val="28"/>
                <w:szCs w:val="28"/>
              </w:rPr>
              <w:t>尚未审结</w:t>
            </w:r>
          </w:p>
        </w:tc>
        <w:tc>
          <w:tcPr>
            <w:tcW w:w="63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仿宋_GB2312" w:hAnsi="黑体" w:eastAsia="仿宋_GB2312"/>
                <w:color w:val="000000" w:themeColor="text1"/>
                <w:sz w:val="28"/>
                <w:szCs w:val="28"/>
              </w:rPr>
            </w:pPr>
            <w:r>
              <w:rPr>
                <w:rFonts w:hint="eastAsia" w:ascii="仿宋_GB2312" w:hAnsi="黑体" w:eastAsia="仿宋_GB2312"/>
                <w:color w:val="000000" w:themeColor="text1"/>
                <w:kern w:val="0"/>
                <w:sz w:val="28"/>
                <w:szCs w:val="28"/>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gridAfter w:val="1"/>
          <w:wAfter w:w="11" w:type="dxa"/>
          <w:trHeight w:val="628" w:hRule="atLeast"/>
          <w:jc w:val="center"/>
        </w:trPr>
        <w:tc>
          <w:tcPr>
            <w:tcW w:w="632"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63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hint="eastAsia" w:ascii="仿宋_GB2312" w:hAnsi="Times New Roman" w:eastAsia="仿宋_GB2312"/>
                <w:color w:val="000000" w:themeColor="text1"/>
                <w:sz w:val="28"/>
                <w:szCs w:val="28"/>
                <w:lang w:val="en-US" w:eastAsia="zh-CN"/>
              </w:rPr>
            </w:pPr>
            <w:r>
              <w:rPr>
                <w:rFonts w:hint="eastAsia" w:ascii="仿宋_GB2312" w:hAnsi="Times New Roman" w:eastAsia="仿宋_GB2312"/>
                <w:color w:val="000000" w:themeColor="text1"/>
                <w:sz w:val="28"/>
                <w:szCs w:val="28"/>
                <w:lang w:val="en-US" w:eastAsia="zh-CN"/>
              </w:rPr>
              <w:t>2</w:t>
            </w:r>
          </w:p>
        </w:tc>
        <w:tc>
          <w:tcPr>
            <w:tcW w:w="63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hint="default" w:ascii="仿宋_GB2312" w:hAnsi="Times New Roman" w:eastAsia="仿宋_GB2312"/>
                <w:color w:val="000000" w:themeColor="text1"/>
                <w:sz w:val="28"/>
                <w:szCs w:val="28"/>
                <w:lang w:val="en-US" w:eastAsia="zh-CN"/>
              </w:rPr>
            </w:pPr>
            <w:r>
              <w:rPr>
                <w:rFonts w:hint="eastAsia" w:ascii="仿宋_GB2312" w:hAnsi="Times New Roman" w:eastAsia="仿宋_GB2312"/>
                <w:color w:val="000000" w:themeColor="text1"/>
                <w:sz w:val="28"/>
                <w:szCs w:val="28"/>
                <w:lang w:val="en-US" w:eastAsia="zh-CN"/>
              </w:rPr>
              <w:t>1</w:t>
            </w:r>
          </w:p>
        </w:tc>
        <w:tc>
          <w:tcPr>
            <w:tcW w:w="63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68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hint="eastAsia" w:ascii="仿宋_GB2312" w:hAnsi="Times New Roman" w:eastAsia="仿宋_GB2312"/>
                <w:color w:val="000000" w:themeColor="text1"/>
                <w:sz w:val="28"/>
                <w:szCs w:val="28"/>
                <w:lang w:val="en-US" w:eastAsia="zh-CN"/>
              </w:rPr>
            </w:pPr>
            <w:r>
              <w:rPr>
                <w:rFonts w:hint="eastAsia" w:ascii="仿宋_GB2312" w:hAnsi="Times New Roman" w:eastAsia="仿宋_GB2312"/>
                <w:color w:val="000000" w:themeColor="text1"/>
                <w:sz w:val="28"/>
                <w:szCs w:val="28"/>
                <w:lang w:val="en-US" w:eastAsia="zh-CN"/>
              </w:rPr>
              <w:t>3</w:t>
            </w:r>
            <w:bookmarkStart w:id="10" w:name="_GoBack"/>
            <w:bookmarkEnd w:id="10"/>
          </w:p>
        </w:tc>
        <w:tc>
          <w:tcPr>
            <w:tcW w:w="57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63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63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63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63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63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63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63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0</w:t>
            </w:r>
          </w:p>
        </w:tc>
      </w:tr>
    </w:tbl>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五、存在的主要问题及改进情况</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（一）存在的主要问题</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2022年，钢城区政务公开工作虽然取得了一定成效，但仍存在一些不足，主要表现在：一是主动公开信息更新不及时、不全面，部分信息未按要求进行月度或季度更新；二是个别政策文件解读不够深入，解读形式不够多样，解读质量有待进一步提升。</w:t>
      </w:r>
    </w:p>
    <w:p>
      <w:pPr>
        <w:spacing w:line="560" w:lineRule="exact"/>
        <w:ind w:firstLine="640" w:firstLineChars="200"/>
        <w:rPr>
          <w:rFonts w:ascii="楷体_GB2312" w:hAnsi="仿宋_GB2312" w:eastAsia="楷体_GB2312" w:cs="仿宋_GB2312"/>
          <w:sz w:val="32"/>
          <w:szCs w:val="32"/>
        </w:rPr>
      </w:pPr>
      <w:r>
        <w:rPr>
          <w:rFonts w:hint="eastAsia" w:ascii="楷体_GB2312" w:hAnsi="楷体_GB2312" w:eastAsia="楷体_GB2312" w:cs="楷体_GB2312"/>
          <w:sz w:val="32"/>
          <w:szCs w:val="32"/>
        </w:rPr>
        <w:t>（二）改进情况及下一步工作计划</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充分发挥政务公开对于推进政府工作的促进作用，主要采取了以下改进措施：一是进一步完善政府信息公开工作规范。明确重点工作、重点领域的公开主体、内容、时限、方式等内容，对公开任务进行细化分工，推动各部门单位履职尽责，提升主动公开的规范化。二是进一步提升政策解读质量。加强对政策背景、出台目的、重要举措、解读机构及咨询方式等方面的实质性解读，进一步丰富解读形式，如将之前单纯以文字形式公开常务会议的模式转变成以图文回放、图片解读等形式进行公开，创新公开形式内容。</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下一步，我区将不断深化公开内容、突出公开重点、规范公开程序、拓宽公开渠道、创新公开形式，切实提高政务公开工作水平。一是健全完善政策解读机制，严格按照“解读是常态、不解读是例外，发布与解读同步”的原则，指导文件起草单位对政策文件进行专家、新闻发布会等多种形式的解读。二是加大政务公开培训力度，特别是对于新平台的操作使用、依申请公开办理、政策解读等重点难点问题持续开展学习培训，及时发布工作提醒，提升整体工作水平。三是积极挖掘政务公开工作的先进做法和创新实绩，常态化开展政府开放活动，调动各部门单位积极总结政务公开工作经验，提高政务公开宣传稿件的报送质量。四是加大对公开标准的分析和解读，提升公开信息的标准化和规范化，同时及时进行存在问题的分析与整改，切实提升政务公开工作水平。</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六、其他需要报告的事项</w:t>
      </w:r>
    </w:p>
    <w:p>
      <w:pPr>
        <w:spacing w:line="56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（一）收取信息处理费情况。</w:t>
      </w:r>
      <w:r>
        <w:rPr>
          <w:rFonts w:hint="eastAsia" w:ascii="仿宋_GB2312" w:hAnsi="仿宋_GB2312" w:eastAsia="仿宋_GB2312" w:cs="仿宋_GB2312"/>
          <w:sz w:val="32"/>
          <w:szCs w:val="32"/>
        </w:rPr>
        <w:t>依据《政府信息公开信息处理费管理办法》，钢城区人民政府2022年未收取政府信息公开信息处理费。</w:t>
      </w:r>
    </w:p>
    <w:p>
      <w:pPr>
        <w:spacing w:line="56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（二）落实上级政务公开工作要点情况。</w:t>
      </w:r>
      <w:r>
        <w:rPr>
          <w:rFonts w:hint="eastAsia" w:ascii="仿宋_GB2312" w:hAnsi="仿宋_GB2312" w:eastAsia="仿宋_GB2312" w:cs="仿宋_GB2312"/>
          <w:sz w:val="32"/>
          <w:szCs w:val="32"/>
        </w:rPr>
        <w:t>一是进一步加强组织领导。健全政务公开工作领导小组，明确分管领导具体负责政务公开工作，及时研究解决政务公开重点难点问题。二是进一步加强政策解读力度，提升规范性实用性。行政规范性文件以及行政机关制发的对群众和企业权益产生影响的政策文件均开展解读，认真履行好主要负责人是“第一解读人和责任人”。三是及时回应社会关切，综合利用依申请公开、“一网通办”、12345市民服务热线、领导信箱、民声连线、微信公众号、信访投诉等渠道，对涉及本区本部门特别重大、重大突发事件的政务舆情，快速反应。</w:t>
      </w:r>
    </w:p>
    <w:p>
      <w:pPr>
        <w:rPr>
          <w:rFonts w:ascii="仿宋_GB2312" w:hAnsi="楷体_GB2312" w:eastAsia="仿宋_GB2312" w:cs="楷体_GB2312"/>
          <w:sz w:val="32"/>
          <w:szCs w:val="32"/>
        </w:rPr>
      </w:pPr>
      <w:r>
        <w:rPr>
          <w:rFonts w:hint="eastAsia" w:ascii="仿宋_GB2312" w:eastAsia="仿宋_GB2312"/>
          <w:sz w:val="32"/>
          <w:szCs w:val="32"/>
        </w:rPr>
        <w:drawing>
          <wp:inline distT="0" distB="0" distL="114300" distR="114300">
            <wp:extent cx="5238750" cy="1876425"/>
            <wp:effectExtent l="19050" t="19050" r="19050" b="9525"/>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0" cstate="print"/>
                    <a:stretch>
                      <a:fillRect/>
                    </a:stretch>
                  </pic:blipFill>
                  <pic:spPr>
                    <a:xfrm>
                      <a:off x="0" y="0"/>
                      <a:ext cx="5240627" cy="1877069"/>
                    </a:xfrm>
                    <a:prstGeom prst="rect">
                      <a:avLst/>
                    </a:prstGeom>
                    <a:noFill/>
                    <a:ln>
                      <a:solidFill>
                        <a:schemeClr val="tx1"/>
                      </a:solidFill>
                    </a:ln>
                  </pic:spPr>
                </pic:pic>
              </a:graphicData>
            </a:graphic>
          </wp:inline>
        </w:drawing>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（三）人大代表建议和政协委员提案办理结果公开情况。</w:t>
      </w:r>
      <w:r>
        <w:rPr>
          <w:rFonts w:hint="eastAsia" w:ascii="仿宋_GB2312" w:hAnsi="仿宋_GB2312" w:eastAsia="仿宋_GB2312" w:cs="仿宋_GB2312"/>
          <w:sz w:val="32"/>
          <w:szCs w:val="32"/>
        </w:rPr>
        <w:t>一是人大代表建议办理情况。2022年区人大机关交由区政府系统办理的代表建议共135件。其中，城市规划建设方面42件，占31%；民生方面22件，占16%；经济发展方面25件，占19%；生态保护和旅游开发方面9件，占6%；教育卫生方面24件，占18%；农业农村方面13件，占10%。对代表提出的建议，区政府及各承办单位高度重视，采取有力措施，认真研究落实。目前135件代表建议已全部办理完毕。并在区政府门户网站“建议提案”专栏发布。</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是政协委员提案办理情况。2022年，区政协各参加单位、政协委员和各专门委员会坚持“围绕中心，服务大局，提高质量，讲求实效”的提案工作方针，围绕全区工作中心和人民群众普遍关心的热点难点问题，进行提案。提案内容涉及经济、政治、文化、社会等诸多领域，共收到提案126件，经审查立案119件。其中，经济发展方面提案25件，占立案总数的21%；城乡建设方面提案24件，占20.2%；科教文卫方面提案39件，占32.8%；社会法治方面提案12件，占10.1%；生态环境方面提案9件，占7.5%；其他方面提案10件，占8.4%。截至目前，119件提案已全部办复，并在区政府门户网站“建议提案”专栏发布。</w:t>
      </w:r>
    </w:p>
    <w:p>
      <w:pPr>
        <w:rPr>
          <w:rFonts w:ascii="仿宋_GB2312" w:eastAsia="仿宋_GB2312"/>
          <w:sz w:val="32"/>
          <w:szCs w:val="32"/>
        </w:rPr>
      </w:pPr>
      <w:r>
        <w:rPr>
          <w:rFonts w:hint="eastAsia" w:ascii="仿宋_GB2312" w:eastAsia="仿宋_GB2312"/>
          <w:sz w:val="32"/>
          <w:szCs w:val="32"/>
        </w:rPr>
        <w:drawing>
          <wp:inline distT="0" distB="0" distL="114300" distR="114300">
            <wp:extent cx="5257800" cy="1950720"/>
            <wp:effectExtent l="19050" t="19050" r="19050" b="1143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1" cstate="print"/>
                    <a:stretch>
                      <a:fillRect/>
                    </a:stretch>
                  </pic:blipFill>
                  <pic:spPr>
                    <a:xfrm>
                      <a:off x="0" y="0"/>
                      <a:ext cx="5265754" cy="1954278"/>
                    </a:xfrm>
                    <a:prstGeom prst="rect">
                      <a:avLst/>
                    </a:prstGeom>
                    <a:noFill/>
                    <a:ln>
                      <a:solidFill>
                        <a:schemeClr val="tx1"/>
                      </a:solidFill>
                    </a:ln>
                  </pic:spPr>
                </pic:pic>
              </a:graphicData>
            </a:graphic>
          </wp:inline>
        </w:drawing>
      </w:r>
    </w:p>
    <w:p>
      <w:pPr>
        <w:numPr>
          <w:ilvl w:val="0"/>
          <w:numId w:val="3"/>
        </w:numPr>
        <w:spacing w:line="56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政务公开工作创新情况。</w:t>
      </w:r>
      <w:r>
        <w:rPr>
          <w:rFonts w:hint="eastAsia" w:ascii="仿宋_GB2312" w:hAnsi="仿宋_GB2312" w:eastAsia="仿宋_GB2312" w:cs="仿宋_GB2312"/>
          <w:sz w:val="32"/>
          <w:szCs w:val="32"/>
        </w:rPr>
        <w:t>一是为进一步推动基层政务公开标准化、规范化向农村和社区延伸，各街道主动求变，积极创新公开形式，通过召开“民情分析会”、“午餐协商会”等形式，拓宽了公开渠道，打破了群众对政府信息掌握不及时不准确的尴尬局面，推动了政务公开工作由“书面化”、“扁平化”到“形象化”、“立体化”的转变。二是升级政府网站政务公开专区，新专区界面设置简洁、栏目层次分明、重点领域突出，给群众带来了更好的操作体验感。三是制定“政府开放月”活动方案，指导各部门单位组织开展“冬小麦播种农业技术与农业机械推广”、“法律服务开放日”、“疫情防控开放日”等16场政府开放活动，进一步打通了政府联系群众的“最后一公里”。四是将政务公开考核纳入全区高质量发展综合绩效考核，完善奖励问责机制，及时跟进、及时通报，对于考评排名靠后的单位，由区政府分管领导通知对其单位分管负责同志进行约谈。</w:t>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1833880"/>
            <wp:effectExtent l="19050" t="19050" r="21590" b="1397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noChangeArrowheads="1"/>
                    </pic:cNvPicPr>
                  </pic:nvPicPr>
                  <pic:blipFill>
                    <a:blip r:embed="rId12" cstate="print"/>
                    <a:srcRect/>
                    <a:stretch>
                      <a:fillRect/>
                    </a:stretch>
                  </pic:blipFill>
                  <pic:spPr>
                    <a:xfrm>
                      <a:off x="0" y="0"/>
                      <a:ext cx="5274310" cy="1834210"/>
                    </a:xfrm>
                    <a:prstGeom prst="rect">
                      <a:avLst/>
                    </a:prstGeom>
                    <a:noFill/>
                    <a:ln w="9525">
                      <a:solidFill>
                        <a:schemeClr val="tx1"/>
                      </a:solidFill>
                      <a:miter lim="800000"/>
                      <a:headEnd/>
                      <a:tailEnd/>
                    </a:ln>
                  </pic:spPr>
                </pic:pic>
              </a:graphicData>
            </a:graphic>
          </wp:inline>
        </w:drawing>
      </w:r>
    </w:p>
    <w:p>
      <w:pPr>
        <w:spacing w:line="56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（五）年报数据统计需要说明的事项</w:t>
      </w:r>
      <w:r>
        <w:rPr>
          <w:rFonts w:ascii="楷体_GB2312" w:hAnsi="楷体_GB2312" w:eastAsia="楷体_GB2312" w:cs="楷体_GB2312"/>
          <w:sz w:val="32"/>
          <w:szCs w:val="32"/>
        </w:rPr>
        <w:t>:</w:t>
      </w:r>
      <w:r>
        <w:rPr>
          <w:rFonts w:hint="eastAsia" w:ascii="仿宋_GB2312" w:hAnsi="楷体_GB2312" w:eastAsia="仿宋_GB2312" w:cs="楷体_GB2312"/>
          <w:sz w:val="32"/>
          <w:szCs w:val="32"/>
        </w:rPr>
        <w:t>无</w:t>
      </w:r>
      <w:r>
        <w:rPr>
          <w:rFonts w:hint="eastAsia" w:ascii="仿宋_GB2312" w:hAnsi="仿宋_GB2312" w:eastAsia="仿宋_GB2312" w:cs="仿宋_GB2312"/>
          <w:sz w:val="32"/>
          <w:szCs w:val="32"/>
        </w:rPr>
        <w:t>。</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1736781753"/>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1</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D156F9"/>
    <w:multiLevelType w:val="singleLevel"/>
    <w:tmpl w:val="8BD156F9"/>
    <w:lvl w:ilvl="0" w:tentative="0">
      <w:start w:val="4"/>
      <w:numFmt w:val="chineseCounting"/>
      <w:suff w:val="nothing"/>
      <w:lvlText w:val="（%1）"/>
      <w:lvlJc w:val="left"/>
      <w:rPr>
        <w:rFonts w:hint="eastAsia"/>
      </w:rPr>
    </w:lvl>
  </w:abstractNum>
  <w:abstractNum w:abstractNumId="1">
    <w:nsid w:val="F6C3106F"/>
    <w:multiLevelType w:val="singleLevel"/>
    <w:tmpl w:val="F6C3106F"/>
    <w:lvl w:ilvl="0" w:tentative="0">
      <w:start w:val="1"/>
      <w:numFmt w:val="chineseCounting"/>
      <w:suff w:val="nothing"/>
      <w:lvlText w:val="（%1）"/>
      <w:lvlJc w:val="left"/>
      <w:rPr>
        <w:rFonts w:hint="eastAsia" w:ascii="楷体_GB2312" w:eastAsia="楷体_GB2312"/>
      </w:rPr>
    </w:lvl>
  </w:abstractNum>
  <w:abstractNum w:abstractNumId="2">
    <w:nsid w:val="0A7AA11C"/>
    <w:multiLevelType w:val="singleLevel"/>
    <w:tmpl w:val="0A7AA11C"/>
    <w:lvl w:ilvl="0" w:tentative="0">
      <w:start w:val="2"/>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jZjZGFhM2EzNmZlYmExNWQ3MjU2NTE5ZGI5OGMzNzcifQ=="/>
  </w:docVars>
  <w:rsids>
    <w:rsidRoot w:val="1F643450"/>
    <w:rsid w:val="000215B2"/>
    <w:rsid w:val="00066E88"/>
    <w:rsid w:val="000810E6"/>
    <w:rsid w:val="000C0258"/>
    <w:rsid w:val="000E727B"/>
    <w:rsid w:val="00116CC0"/>
    <w:rsid w:val="00143B92"/>
    <w:rsid w:val="001654BD"/>
    <w:rsid w:val="001866F7"/>
    <w:rsid w:val="001C5EE1"/>
    <w:rsid w:val="002066F5"/>
    <w:rsid w:val="00232D23"/>
    <w:rsid w:val="00294378"/>
    <w:rsid w:val="00302A63"/>
    <w:rsid w:val="00334A12"/>
    <w:rsid w:val="00381883"/>
    <w:rsid w:val="00394F76"/>
    <w:rsid w:val="003A792E"/>
    <w:rsid w:val="003C140D"/>
    <w:rsid w:val="00402CC8"/>
    <w:rsid w:val="00411072"/>
    <w:rsid w:val="004A0400"/>
    <w:rsid w:val="004D7FD9"/>
    <w:rsid w:val="00506244"/>
    <w:rsid w:val="0052263A"/>
    <w:rsid w:val="00530813"/>
    <w:rsid w:val="00563DF5"/>
    <w:rsid w:val="005722D7"/>
    <w:rsid w:val="0057373B"/>
    <w:rsid w:val="005C17EB"/>
    <w:rsid w:val="005C18D2"/>
    <w:rsid w:val="005C61BA"/>
    <w:rsid w:val="00603588"/>
    <w:rsid w:val="00720571"/>
    <w:rsid w:val="00735000"/>
    <w:rsid w:val="00747A6D"/>
    <w:rsid w:val="00761F13"/>
    <w:rsid w:val="00763031"/>
    <w:rsid w:val="0079080F"/>
    <w:rsid w:val="007963EF"/>
    <w:rsid w:val="007C133F"/>
    <w:rsid w:val="00897D3A"/>
    <w:rsid w:val="0095146D"/>
    <w:rsid w:val="0095791E"/>
    <w:rsid w:val="00965860"/>
    <w:rsid w:val="0096737E"/>
    <w:rsid w:val="00970D4B"/>
    <w:rsid w:val="00985A22"/>
    <w:rsid w:val="009C2982"/>
    <w:rsid w:val="009C5F5D"/>
    <w:rsid w:val="009F33EA"/>
    <w:rsid w:val="00A13B93"/>
    <w:rsid w:val="00A1494B"/>
    <w:rsid w:val="00A61920"/>
    <w:rsid w:val="00A72AB8"/>
    <w:rsid w:val="00AC09C6"/>
    <w:rsid w:val="00B0351F"/>
    <w:rsid w:val="00B201DA"/>
    <w:rsid w:val="00B42954"/>
    <w:rsid w:val="00B8106E"/>
    <w:rsid w:val="00C051FB"/>
    <w:rsid w:val="00C1761C"/>
    <w:rsid w:val="00C631BB"/>
    <w:rsid w:val="00C71945"/>
    <w:rsid w:val="00C83A96"/>
    <w:rsid w:val="00C96022"/>
    <w:rsid w:val="00CA0FA5"/>
    <w:rsid w:val="00CD7133"/>
    <w:rsid w:val="00CE473F"/>
    <w:rsid w:val="00D56B2B"/>
    <w:rsid w:val="00D65618"/>
    <w:rsid w:val="00D84B25"/>
    <w:rsid w:val="00D90690"/>
    <w:rsid w:val="00D91F7E"/>
    <w:rsid w:val="00DA3021"/>
    <w:rsid w:val="00DA430F"/>
    <w:rsid w:val="00DB62CB"/>
    <w:rsid w:val="00DC5BE6"/>
    <w:rsid w:val="00DD5441"/>
    <w:rsid w:val="00DE548F"/>
    <w:rsid w:val="00E5497F"/>
    <w:rsid w:val="00E574C6"/>
    <w:rsid w:val="00E96AD7"/>
    <w:rsid w:val="00EA5CCF"/>
    <w:rsid w:val="00EC633D"/>
    <w:rsid w:val="00EC7D56"/>
    <w:rsid w:val="00EF5B1F"/>
    <w:rsid w:val="00F54E21"/>
    <w:rsid w:val="00F66AE5"/>
    <w:rsid w:val="00FE2712"/>
    <w:rsid w:val="00FF6FA4"/>
    <w:rsid w:val="039952EC"/>
    <w:rsid w:val="0AEF1040"/>
    <w:rsid w:val="0CCA0E01"/>
    <w:rsid w:val="0EDA3E54"/>
    <w:rsid w:val="195D6574"/>
    <w:rsid w:val="19DF45AE"/>
    <w:rsid w:val="1B43291B"/>
    <w:rsid w:val="1E213D4C"/>
    <w:rsid w:val="1F643450"/>
    <w:rsid w:val="28A77926"/>
    <w:rsid w:val="2C1016A3"/>
    <w:rsid w:val="34271C17"/>
    <w:rsid w:val="34C06EBA"/>
    <w:rsid w:val="36C60CE2"/>
    <w:rsid w:val="3CD459E0"/>
    <w:rsid w:val="3FBD23EC"/>
    <w:rsid w:val="3FFB2F15"/>
    <w:rsid w:val="42B32B01"/>
    <w:rsid w:val="431920F7"/>
    <w:rsid w:val="48DA5DBD"/>
    <w:rsid w:val="4A796422"/>
    <w:rsid w:val="4B9A50F1"/>
    <w:rsid w:val="4E630603"/>
    <w:rsid w:val="4F700609"/>
    <w:rsid w:val="55733821"/>
    <w:rsid w:val="56D8028F"/>
    <w:rsid w:val="5B7842EF"/>
    <w:rsid w:val="5F265FC0"/>
    <w:rsid w:val="64460353"/>
    <w:rsid w:val="66D659BE"/>
    <w:rsid w:val="693A1C05"/>
    <w:rsid w:val="6BA51E03"/>
    <w:rsid w:val="6BE26BB3"/>
    <w:rsid w:val="6EC95E08"/>
    <w:rsid w:val="6FB601DF"/>
    <w:rsid w:val="707E5AE0"/>
    <w:rsid w:val="76F361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qFormat/>
    <w:uiPriority w:val="0"/>
    <w:rPr>
      <w:sz w:val="18"/>
      <w:szCs w:val="18"/>
    </w:rPr>
  </w:style>
  <w:style w:type="paragraph" w:styleId="3">
    <w:name w:val="footer"/>
    <w:basedOn w:val="1"/>
    <w:link w:val="8"/>
    <w:qFormat/>
    <w:uiPriority w:val="99"/>
    <w:pPr>
      <w:tabs>
        <w:tab w:val="center" w:pos="4153"/>
        <w:tab w:val="right" w:pos="8306"/>
      </w:tabs>
      <w:snapToGrid w:val="0"/>
      <w:jc w:val="left"/>
    </w:pPr>
    <w:rPr>
      <w:sz w:val="18"/>
      <w:szCs w:val="18"/>
    </w:rPr>
  </w:style>
  <w:style w:type="paragraph" w:styleId="4">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0"/>
    <w:rPr>
      <w:rFonts w:asciiTheme="minorHAnsi" w:hAnsiTheme="minorHAnsi" w:eastAsiaTheme="minorEastAsia" w:cstheme="minorBidi"/>
      <w:kern w:val="2"/>
      <w:sz w:val="18"/>
      <w:szCs w:val="18"/>
    </w:rPr>
  </w:style>
  <w:style w:type="character" w:customStyle="1" w:styleId="8">
    <w:name w:val="页脚 Char"/>
    <w:basedOn w:val="6"/>
    <w:link w:val="3"/>
    <w:qFormat/>
    <w:uiPriority w:val="99"/>
    <w:rPr>
      <w:rFonts w:asciiTheme="minorHAnsi" w:hAnsiTheme="minorHAnsi" w:eastAsiaTheme="minorEastAsia" w:cstheme="minorBidi"/>
      <w:kern w:val="2"/>
      <w:sz w:val="18"/>
      <w:szCs w:val="18"/>
    </w:rPr>
  </w:style>
  <w:style w:type="character" w:customStyle="1" w:styleId="9">
    <w:name w:val="批注框文本 Char"/>
    <w:basedOn w:val="6"/>
    <w:link w:val="2"/>
    <w:qFormat/>
    <w:uiPriority w:val="0"/>
    <w:rPr>
      <w:rFonts w:asciiTheme="minorHAnsi" w:hAnsiTheme="minorHAnsi" w:eastAsiaTheme="minorEastAsia" w:cstheme="minorBidi"/>
      <w:kern w:val="2"/>
      <w:sz w:val="18"/>
      <w:szCs w:val="18"/>
    </w:rPr>
  </w:style>
  <w:style w:type="paragraph" w:styleId="10">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chart" Target="charts/chart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b="1"/>
              <a:t>2022</a:t>
            </a:r>
            <a:r>
              <a:rPr lang="zh-CN" altLang="en-US" b="1"/>
              <a:t>年度依申请公开办理结果</a:t>
            </a:r>
            <a:endParaRPr lang="zh-CN" altLang="en-US" b="1"/>
          </a:p>
        </c:rich>
      </c:tx>
      <c:layout>
        <c:manualLayout>
          <c:xMode val="edge"/>
          <c:yMode val="edge"/>
          <c:x val="0.189444444444444"/>
          <c:y val="0.0347222222222222"/>
        </c:manualLayout>
      </c:layout>
      <c:overlay val="0"/>
      <c:spPr>
        <a:noFill/>
        <a:ln>
          <a:noFill/>
        </a:ln>
        <a:effectLst/>
      </c:spPr>
    </c:title>
    <c:autoTitleDeleted val="0"/>
    <c:view3D>
      <c:rotX val="30"/>
      <c:rotY val="0"/>
      <c:depthPercent val="100"/>
      <c:rAngAx val="0"/>
      <c:perspective val="30"/>
    </c:view3D>
    <c:floor>
      <c:thickness val="0"/>
      <c:spPr>
        <a:noFill/>
        <a:effectLst/>
      </c:spPr>
    </c:floor>
    <c:sideWall>
      <c:thickness val="0"/>
      <c:spPr>
        <a:noFill/>
        <a:effectLst/>
      </c:spPr>
    </c:sideWall>
    <c:backWall>
      <c:thickness val="0"/>
      <c:spPr>
        <a:noFill/>
        <a:effectLst/>
      </c:spPr>
    </c:backWall>
    <c:plotArea>
      <c:layout>
        <c:manualLayout>
          <c:layoutTarget val="inner"/>
          <c:xMode val="edge"/>
          <c:yMode val="edge"/>
          <c:x val="0.0381340341655716"/>
          <c:y val="0.344959216965742"/>
          <c:w val="0.829119579500657"/>
          <c:h val="0.363915171288745"/>
        </c:manualLayout>
      </c:layout>
      <c:pie3DChart>
        <c:varyColors val="1"/>
        <c:ser>
          <c:idx val="0"/>
          <c:order val="0"/>
          <c:spPr>
            <a:scene3d>
              <a:camera prst="orthographicFront"/>
              <a:lightRig rig="threePt" dir="t"/>
            </a:scene3d>
            <a:sp3d contourW="25400"/>
          </c:spPr>
          <c:explosion val="0"/>
          <c:dPt>
            <c:idx val="0"/>
            <c:bubble3D val="0"/>
            <c:spPr>
              <a:solidFill>
                <a:schemeClr val="accent1"/>
              </a:solidFill>
              <a:ln w="25400">
                <a:solidFill>
                  <a:schemeClr val="lt1"/>
                </a:solidFill>
              </a:ln>
              <a:effectLst/>
              <a:scene3d>
                <a:camera prst="orthographicFront"/>
                <a:lightRig rig="threePt" dir="t"/>
              </a:scene3d>
              <a:sp3d contourW="25400"/>
            </c:spPr>
          </c:dPt>
          <c:dPt>
            <c:idx val="1"/>
            <c:bubble3D val="0"/>
            <c:spPr>
              <a:solidFill>
                <a:schemeClr val="accent2"/>
              </a:solidFill>
              <a:ln w="25400">
                <a:solidFill>
                  <a:schemeClr val="lt1"/>
                </a:solidFill>
              </a:ln>
              <a:effectLst/>
              <a:scene3d>
                <a:camera prst="orthographicFront"/>
                <a:lightRig rig="threePt" dir="t"/>
              </a:scene3d>
              <a:sp3d contourW="25400"/>
            </c:spPr>
          </c:dPt>
          <c:dPt>
            <c:idx val="2"/>
            <c:bubble3D val="0"/>
            <c:spPr>
              <a:solidFill>
                <a:schemeClr val="accent3"/>
              </a:solidFill>
              <a:ln w="25400">
                <a:solidFill>
                  <a:schemeClr val="lt1"/>
                </a:solidFill>
              </a:ln>
              <a:effectLst/>
              <a:scene3d>
                <a:camera prst="orthographicFront"/>
                <a:lightRig rig="threePt" dir="t"/>
              </a:scene3d>
              <a:sp3d contourW="25400"/>
            </c:spPr>
          </c:dPt>
          <c:dPt>
            <c:idx val="3"/>
            <c:bubble3D val="0"/>
            <c:spPr>
              <a:solidFill>
                <a:schemeClr val="accent4"/>
              </a:solidFill>
              <a:ln w="25400">
                <a:solidFill>
                  <a:schemeClr val="lt1"/>
                </a:solidFill>
              </a:ln>
              <a:effectLst/>
              <a:scene3d>
                <a:camera prst="orthographicFront"/>
                <a:lightRig rig="threePt" dir="t"/>
              </a:scene3d>
              <a:sp3d contourW="25400"/>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[工作簿1]Sheet1!$A$2:$A$5</c:f>
              <c:strCache>
                <c:ptCount val="4"/>
                <c:pt idx="0">
                  <c:v>予以公开</c:v>
                </c:pt>
                <c:pt idx="1">
                  <c:v>部分公开</c:v>
                </c:pt>
                <c:pt idx="2">
                  <c:v>不予公开</c:v>
                </c:pt>
                <c:pt idx="3">
                  <c:v>无法提供</c:v>
                </c:pt>
              </c:strCache>
            </c:strRef>
          </c:cat>
          <c:val>
            <c:numRef>
              <c:f>[工作簿1]Sheet1!$B$2:$B$5</c:f>
              <c:numCache>
                <c:formatCode>General</c:formatCode>
                <c:ptCount val="4"/>
                <c:pt idx="0">
                  <c:v>19</c:v>
                </c:pt>
                <c:pt idx="1">
                  <c:v>3</c:v>
                </c:pt>
                <c:pt idx="2">
                  <c:v>2</c:v>
                </c:pt>
                <c:pt idx="3">
                  <c:v>2</c:v>
                </c:pt>
              </c:numCache>
            </c:numRef>
          </c:val>
        </c:ser>
        <c:dLbls>
          <c:showLegendKey val="0"/>
          <c:showVal val="1"/>
          <c:showCatName val="0"/>
          <c:showSerName val="0"/>
          <c:showPercent val="0"/>
          <c:showBubbleSize val="0"/>
        </c:dLbls>
      </c:pie3D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4084</Words>
  <Characters>4268</Characters>
  <Lines>33</Lines>
  <Paragraphs>9</Paragraphs>
  <TotalTime>51</TotalTime>
  <ScaleCrop>false</ScaleCrop>
  <LinksUpToDate>false</LinksUpToDate>
  <CharactersWithSpaces>4268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2023-01-29T21:20:00Z</dcterms:created>
  <dc:creator>……</dc:creator>
  <cp:lastModifiedBy>……</cp:lastModifiedBy>
  <dcterms:modified xsi:type="dcterms:W3CDTF">2023-02-27T01:19:02Z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DFAA4409864247499F4BA37D2F40D78C</vt:lpwstr>
  </property>
</Properties>
</file>