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小标宋简体" w:hAnsi="宋体"/>
          <w:bCs/>
          <w:color w:val="FF0000"/>
          <w:w w:val="40"/>
          <w:sz w:val="40"/>
          <w:szCs w:val="40"/>
        </w:rPr>
      </w:pPr>
    </w:p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小标宋简体" w:hAnsi="宋体"/>
          <w:bCs/>
          <w:color w:val="FF0000"/>
          <w:w w:val="40"/>
          <w:sz w:val="40"/>
          <w:szCs w:val="40"/>
        </w:rPr>
      </w:pPr>
    </w:p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小标宋简体" w:hAnsi="宋体"/>
          <w:bCs/>
          <w:color w:val="FF0000"/>
          <w:w w:val="40"/>
          <w:sz w:val="40"/>
          <w:szCs w:val="40"/>
        </w:rPr>
      </w:pPr>
    </w:p>
    <w:p w:rsidR="001112DD" w:rsidRPr="001112DD" w:rsidRDefault="001112DD" w:rsidP="001112DD">
      <w:pPr>
        <w:pStyle w:val="2"/>
        <w:overflowPunct w:val="0"/>
        <w:spacing w:line="240" w:lineRule="exact"/>
        <w:ind w:firstLineChars="0" w:firstLine="0"/>
        <w:rPr>
          <w:rFonts w:ascii="宋体" w:eastAsia="新宋体" w:hAnsi="宋体"/>
          <w:bCs/>
          <w:color w:val="FF0000"/>
        </w:rPr>
      </w:pPr>
    </w:p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小标宋简体" w:hAnsi="宋体"/>
          <w:bCs/>
          <w:color w:val="FF0000"/>
          <w:w w:val="40"/>
          <w:sz w:val="40"/>
          <w:szCs w:val="40"/>
        </w:rPr>
      </w:pPr>
    </w:p>
    <w:p w:rsidR="001112DD" w:rsidRPr="001112DD" w:rsidRDefault="001112DD" w:rsidP="001112DD">
      <w:pPr>
        <w:overflowPunct w:val="0"/>
        <w:autoSpaceDE w:val="0"/>
        <w:autoSpaceDN w:val="0"/>
        <w:jc w:val="center"/>
        <w:rPr>
          <w:rFonts w:ascii="宋体" w:eastAsia="方正小标宋简体" w:hAnsi="宋体"/>
          <w:color w:val="FF0000"/>
          <w:w w:val="45"/>
          <w:sz w:val="146"/>
          <w:szCs w:val="146"/>
        </w:rPr>
      </w:pPr>
      <w:r w:rsidRPr="001112DD">
        <w:rPr>
          <w:rFonts w:ascii="宋体" w:eastAsia="方正小标宋简体" w:hAnsi="宋体" w:cs="方正小标宋简体" w:hint="eastAsia"/>
          <w:color w:val="FF0000"/>
          <w:w w:val="45"/>
          <w:sz w:val="146"/>
          <w:szCs w:val="146"/>
        </w:rPr>
        <w:t>济南市钢城区人民政府办公室</w:t>
      </w:r>
    </w:p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仿宋简体" w:hAnsi="宋体"/>
          <w:bCs/>
          <w:color w:val="FF0000"/>
          <w:w w:val="45"/>
          <w:szCs w:val="32"/>
        </w:rPr>
      </w:pPr>
    </w:p>
    <w:p w:rsidR="001112DD" w:rsidRPr="001112DD" w:rsidRDefault="001112DD" w:rsidP="001112DD">
      <w:pPr>
        <w:overflowPunct w:val="0"/>
        <w:autoSpaceDE w:val="0"/>
        <w:autoSpaceDN w:val="0"/>
        <w:spacing w:line="240" w:lineRule="exact"/>
        <w:rPr>
          <w:rFonts w:ascii="宋体" w:eastAsia="方正仿宋简体" w:hAnsi="宋体"/>
          <w:bCs/>
          <w:color w:val="FF0000"/>
          <w:w w:val="45"/>
          <w:szCs w:val="32"/>
        </w:rPr>
      </w:pPr>
    </w:p>
    <w:p w:rsidR="001112DD" w:rsidRPr="001112DD" w:rsidRDefault="001112DD" w:rsidP="001112DD">
      <w:pPr>
        <w:overflowPunct w:val="0"/>
        <w:autoSpaceDE w:val="0"/>
        <w:autoSpaceDN w:val="0"/>
        <w:spacing w:line="616" w:lineRule="exact"/>
        <w:jc w:val="center"/>
        <w:rPr>
          <w:rFonts w:ascii="宋体" w:eastAsia="文星仿宋" w:hAnsi="宋体"/>
          <w:b/>
          <w:bCs/>
          <w:sz w:val="32"/>
          <w:szCs w:val="32"/>
        </w:rPr>
      </w:pPr>
      <w:r w:rsidRPr="001112DD">
        <w:rPr>
          <w:rFonts w:ascii="宋体" w:eastAsia="文星仿宋" w:hAnsi="宋体" w:cs="文星仿宋" w:hint="eastAsia"/>
          <w:b/>
          <w:bCs/>
          <w:sz w:val="32"/>
          <w:szCs w:val="32"/>
        </w:rPr>
        <w:t>钢城政办字〔</w:t>
      </w:r>
      <w:r w:rsidRPr="001112DD">
        <w:rPr>
          <w:rFonts w:ascii="宋体" w:eastAsia="文星仿宋" w:hAnsi="宋体" w:cs="新宋体"/>
          <w:b/>
          <w:bCs/>
          <w:sz w:val="32"/>
          <w:szCs w:val="32"/>
        </w:rPr>
        <w:t>202</w:t>
      </w:r>
      <w:r w:rsidRPr="001112DD">
        <w:rPr>
          <w:rFonts w:ascii="宋体" w:eastAsia="文星仿宋" w:hAnsi="宋体" w:cs="新宋体" w:hint="eastAsia"/>
          <w:b/>
          <w:bCs/>
          <w:sz w:val="32"/>
          <w:szCs w:val="32"/>
        </w:rPr>
        <w:t>2</w:t>
      </w:r>
      <w:r w:rsidRPr="001112DD">
        <w:rPr>
          <w:rFonts w:ascii="宋体" w:eastAsia="文星仿宋" w:hAnsi="宋体" w:cs="文星仿宋" w:hint="eastAsia"/>
          <w:b/>
          <w:bCs/>
          <w:sz w:val="32"/>
          <w:szCs w:val="32"/>
        </w:rPr>
        <w:t>〕</w:t>
      </w:r>
      <w:r w:rsidRPr="001112DD">
        <w:rPr>
          <w:rFonts w:ascii="宋体" w:eastAsia="文星仿宋" w:hAnsi="宋体" w:cs="新宋体" w:hint="eastAsia"/>
          <w:b/>
          <w:bCs/>
          <w:sz w:val="32"/>
          <w:szCs w:val="32"/>
        </w:rPr>
        <w:t>3</w:t>
      </w:r>
      <w:r w:rsidRPr="001112DD">
        <w:rPr>
          <w:rFonts w:ascii="宋体" w:eastAsia="文星仿宋" w:hAnsi="宋体" w:cs="文星仿宋" w:hint="eastAsia"/>
          <w:b/>
          <w:bCs/>
          <w:sz w:val="32"/>
          <w:szCs w:val="32"/>
        </w:rPr>
        <w:t>号</w:t>
      </w:r>
    </w:p>
    <w:p w:rsidR="001112DD" w:rsidRPr="001112DD" w:rsidRDefault="001112DD" w:rsidP="001112DD">
      <w:pPr>
        <w:overflowPunct w:val="0"/>
        <w:spacing w:line="616" w:lineRule="exact"/>
        <w:ind w:firstLine="357"/>
        <w:jc w:val="center"/>
        <w:rPr>
          <w:rFonts w:ascii="宋体" w:eastAsia="文星标宋" w:hAnsi="宋体"/>
          <w:bCs/>
          <w:sz w:val="44"/>
          <w:szCs w:val="44"/>
        </w:rPr>
      </w:pPr>
      <w:r w:rsidRPr="001112DD">
        <w:rPr>
          <w:rFonts w:ascii="宋体" w:eastAsia="文星标宋" w:hAnsi="宋体"/>
          <w:noProof/>
          <w:szCs w:val="21"/>
        </w:rPr>
        <w:pict>
          <v:line id="_x0000_s2053" style="position:absolute;left:0;text-align:left;z-index:-251635712;mso-position-horizontal:center" from="0,2.8pt" to="440.8pt,2.8pt" strokecolor="red" strokeweight="1.5pt"/>
        </w:pict>
      </w:r>
    </w:p>
    <w:p w:rsidR="00E45FCE" w:rsidRPr="001112DD" w:rsidRDefault="003A3F52">
      <w:pPr>
        <w:overflowPunct w:val="0"/>
        <w:spacing w:line="616" w:lineRule="exact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济南市钢城区人民政府办公室</w:t>
      </w:r>
    </w:p>
    <w:p w:rsidR="00E45FCE" w:rsidRPr="001112DD" w:rsidRDefault="003A3F52">
      <w:pPr>
        <w:overflowPunct w:val="0"/>
        <w:spacing w:line="616" w:lineRule="exact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关于印发《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2022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年度区级重点项目安排》的</w:t>
      </w:r>
    </w:p>
    <w:p w:rsidR="00E45FCE" w:rsidRPr="001112DD" w:rsidRDefault="003A3F52">
      <w:pPr>
        <w:overflowPunct w:val="0"/>
        <w:spacing w:line="616" w:lineRule="exact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通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 xml:space="preserve">   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知</w:t>
      </w:r>
    </w:p>
    <w:p w:rsidR="00E45FCE" w:rsidRPr="001112DD" w:rsidRDefault="00E45FCE">
      <w:pPr>
        <w:overflowPunct w:val="0"/>
        <w:spacing w:line="616" w:lineRule="exact"/>
        <w:rPr>
          <w:rFonts w:ascii="宋体" w:eastAsia="文星仿宋" w:hAnsi="宋体"/>
          <w:b/>
          <w:sz w:val="32"/>
          <w:szCs w:val="32"/>
        </w:rPr>
      </w:pPr>
    </w:p>
    <w:p w:rsidR="00E45FCE" w:rsidRPr="001112DD" w:rsidRDefault="003A3F52">
      <w:pPr>
        <w:overflowPunct w:val="0"/>
        <w:spacing w:line="616" w:lineRule="exact"/>
        <w:rPr>
          <w:rFonts w:ascii="宋体" w:eastAsia="文星仿宋" w:hAnsi="宋体" w:cs="仿宋_GB2312"/>
          <w:b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各街道（功能区）办事处（管委会），区政府各部门，区属各企事业单位：</w:t>
      </w:r>
    </w:p>
    <w:p w:rsidR="00E45FCE" w:rsidRPr="001112DD" w:rsidRDefault="003A3F52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《</w:t>
      </w: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2022</w:t>
      </w: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年度区级重点项目安排》已经区政府研究同意，现印发给你们，请结合实际，认真贯彻执行。</w:t>
      </w:r>
    </w:p>
    <w:p w:rsidR="00E45FCE" w:rsidRPr="001112DD" w:rsidRDefault="00E45FCE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</w:p>
    <w:p w:rsidR="00E45FCE" w:rsidRPr="001112DD" w:rsidRDefault="00E45FCE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sz w:val="32"/>
          <w:szCs w:val="32"/>
        </w:rPr>
      </w:pPr>
    </w:p>
    <w:p w:rsidR="00E45FCE" w:rsidRPr="001112DD" w:rsidRDefault="003A3F52">
      <w:pPr>
        <w:wordWrap w:val="0"/>
        <w:overflowPunct w:val="0"/>
        <w:spacing w:line="616" w:lineRule="exact"/>
        <w:jc w:val="right"/>
        <w:rPr>
          <w:rFonts w:ascii="宋体" w:eastAsia="文星仿宋" w:hAnsi="宋体" w:cs="仿宋_GB2312"/>
          <w:b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济南市钢城区人民政府办公室</w:t>
      </w: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 xml:space="preserve">    </w:t>
      </w:r>
    </w:p>
    <w:p w:rsidR="00E45FCE" w:rsidRPr="001112DD" w:rsidRDefault="003A3F52" w:rsidP="00367F72">
      <w:pPr>
        <w:wordWrap w:val="0"/>
        <w:overflowPunct w:val="0"/>
        <w:spacing w:line="616" w:lineRule="exact"/>
        <w:ind w:right="640" w:firstLineChars="1507" w:firstLine="4827"/>
        <w:rPr>
          <w:rFonts w:ascii="宋体" w:eastAsia="文星仿宋" w:hAnsi="宋体" w:cs="仿宋_GB2312"/>
          <w:b/>
          <w:color w:val="000000" w:themeColor="text1"/>
          <w:kern w:val="0"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2022</w:t>
      </w:r>
      <w:r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年</w:t>
      </w:r>
      <w:r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2</w:t>
      </w:r>
      <w:r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月</w:t>
      </w:r>
      <w:r w:rsidR="00367F72"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22</w:t>
      </w:r>
      <w:r w:rsidRPr="001112DD">
        <w:rPr>
          <w:rFonts w:ascii="宋体" w:eastAsia="文星仿宋" w:hAnsi="宋体" w:cs="仿宋_GB2312" w:hint="eastAsia"/>
          <w:b/>
          <w:color w:val="000000" w:themeColor="text1"/>
          <w:kern w:val="0"/>
          <w:sz w:val="32"/>
          <w:szCs w:val="32"/>
        </w:rPr>
        <w:t>日</w:t>
      </w:r>
    </w:p>
    <w:p w:rsidR="00E45FCE" w:rsidRPr="001112DD" w:rsidRDefault="00E45FCE" w:rsidP="00367F72">
      <w:pPr>
        <w:overflowPunct w:val="0"/>
        <w:spacing w:line="616" w:lineRule="exact"/>
        <w:ind w:firstLineChars="1300" w:firstLine="4164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</w:p>
    <w:p w:rsidR="00E45FCE" w:rsidRPr="001112DD" w:rsidRDefault="00E45FCE">
      <w:pPr>
        <w:overflowPunct w:val="0"/>
        <w:spacing w:line="616" w:lineRule="exact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</w:p>
    <w:p w:rsidR="00E45FCE" w:rsidRPr="001112DD" w:rsidRDefault="003A3F52">
      <w:pPr>
        <w:overflowPunct w:val="0"/>
        <w:spacing w:line="616" w:lineRule="exact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2022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年度区级重点项目安排</w:t>
      </w:r>
    </w:p>
    <w:p w:rsidR="00E45FCE" w:rsidRPr="001112DD" w:rsidRDefault="00E45FCE">
      <w:pPr>
        <w:overflowPunct w:val="0"/>
        <w:spacing w:line="616" w:lineRule="exact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</w:p>
    <w:p w:rsidR="00E45FCE" w:rsidRPr="001112DD" w:rsidRDefault="003A3F52">
      <w:pPr>
        <w:pStyle w:val="2"/>
        <w:overflowPunct w:val="0"/>
        <w:spacing w:line="616" w:lineRule="exact"/>
        <w:ind w:firstLineChars="0" w:firstLine="640"/>
        <w:rPr>
          <w:rFonts w:ascii="宋体" w:eastAsia="文星仿宋" w:hAnsi="宋体" w:cs="仿宋_GB2312"/>
          <w:b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2022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年，全区共安排区重点项目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79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个，计划总投资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587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亿元，其中建设类项目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70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个，计划总投资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543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亿元；预备类项目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9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个，计划总投资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44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亿元。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70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个建设类项目中，产业项目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55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79%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；总投资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468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86%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；年度计划投资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113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80%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，其中：二产项目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38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386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亿元，年度计划投资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77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亿元；一三产业项目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17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82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亿元，年度计划投资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36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亿元。基础设施类项目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15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个，占比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21%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；总投资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75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14%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；年度计划投资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28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亿元，占比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20%</w:t>
      </w:r>
      <w:r w:rsidRPr="001112DD">
        <w:rPr>
          <w:rFonts w:ascii="宋体" w:eastAsia="文星仿宋" w:hAnsi="宋体" w:cs="仿宋_GB2312" w:hint="eastAsia"/>
          <w:b/>
          <w:sz w:val="32"/>
          <w:szCs w:val="32"/>
        </w:rPr>
        <w:t>。</w:t>
      </w:r>
    </w:p>
    <w:p w:rsidR="00E45FCE" w:rsidRPr="001112DD" w:rsidRDefault="003A3F52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各街道（功能区）、有关部门单位要落实推进责任，提前介入，统筹协调，优化服务保障，全力推进重点项目建设，推动全区经济社会高质量发展。</w:t>
      </w:r>
    </w:p>
    <w:p w:rsidR="00E45FCE" w:rsidRPr="001112DD" w:rsidRDefault="00E45FCE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sz w:val="32"/>
          <w:szCs w:val="32"/>
        </w:rPr>
      </w:pPr>
    </w:p>
    <w:p w:rsidR="00E45FCE" w:rsidRPr="001112DD" w:rsidRDefault="003A3F52" w:rsidP="00367F72">
      <w:pPr>
        <w:overflowPunct w:val="0"/>
        <w:spacing w:line="616" w:lineRule="exact"/>
        <w:ind w:firstLineChars="200" w:firstLine="641"/>
        <w:rPr>
          <w:rFonts w:ascii="宋体" w:eastAsia="文星仿宋" w:hAnsi="宋体" w:cs="仿宋_GB2312"/>
          <w:b/>
          <w:color w:val="000000"/>
          <w:kern w:val="0"/>
          <w:sz w:val="32"/>
          <w:szCs w:val="32"/>
        </w:rPr>
      </w:pP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附件：</w:t>
      </w: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2022</w:t>
      </w:r>
      <w:r w:rsidRPr="001112DD">
        <w:rPr>
          <w:rFonts w:ascii="宋体" w:eastAsia="文星仿宋" w:hAnsi="宋体" w:cs="仿宋_GB2312" w:hint="eastAsia"/>
          <w:b/>
          <w:color w:val="000000"/>
          <w:kern w:val="0"/>
          <w:sz w:val="32"/>
          <w:szCs w:val="32"/>
        </w:rPr>
        <w:t>年度区级重点项目情况表</w:t>
      </w:r>
    </w:p>
    <w:p w:rsidR="00E45FCE" w:rsidRPr="001112DD" w:rsidRDefault="00E45FCE">
      <w:pPr>
        <w:pStyle w:val="2"/>
        <w:ind w:firstLine="422"/>
        <w:rPr>
          <w:rFonts w:ascii="宋体" w:hAnsi="宋体"/>
          <w:b/>
        </w:rPr>
        <w:sectPr w:rsidR="00E45FCE" w:rsidRPr="001112DD">
          <w:footerReference w:type="default" r:id="rId7"/>
          <w:pgSz w:w="11906" w:h="16838"/>
          <w:pgMar w:top="1531" w:right="1531" w:bottom="1531" w:left="1531" w:header="851" w:footer="1418" w:gutter="0"/>
          <w:cols w:space="425"/>
          <w:docGrid w:type="lines" w:linePitch="312"/>
        </w:sectPr>
      </w:pPr>
    </w:p>
    <w:p w:rsidR="00E45FCE" w:rsidRPr="001112DD" w:rsidRDefault="003A3F52">
      <w:pPr>
        <w:pStyle w:val="2"/>
        <w:ind w:firstLineChars="0" w:firstLine="0"/>
        <w:rPr>
          <w:rFonts w:ascii="宋体" w:eastAsia="黑体" w:hAnsi="宋体"/>
          <w:b/>
          <w:sz w:val="32"/>
          <w:szCs w:val="32"/>
        </w:rPr>
      </w:pPr>
      <w:r w:rsidRPr="001112DD">
        <w:rPr>
          <w:rFonts w:ascii="宋体" w:eastAsia="黑体" w:hAnsi="宋体" w:hint="eastAsia"/>
          <w:b/>
          <w:sz w:val="32"/>
          <w:szCs w:val="32"/>
        </w:rPr>
        <w:t>附件</w:t>
      </w:r>
    </w:p>
    <w:p w:rsidR="00E45FCE" w:rsidRPr="001112DD" w:rsidRDefault="003A3F52" w:rsidP="001112DD">
      <w:pPr>
        <w:pStyle w:val="2"/>
        <w:spacing w:beforeLines="50" w:afterLines="100"/>
        <w:ind w:firstLineChars="0" w:firstLine="0"/>
        <w:jc w:val="center"/>
        <w:rPr>
          <w:rFonts w:ascii="宋体" w:eastAsia="文星标宋" w:hAnsi="宋体"/>
          <w:b/>
          <w:color w:val="000000" w:themeColor="text1"/>
          <w:sz w:val="44"/>
          <w:szCs w:val="44"/>
        </w:rPr>
      </w:pP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2022</w:t>
      </w:r>
      <w:r w:rsidRPr="001112DD">
        <w:rPr>
          <w:rFonts w:ascii="宋体" w:eastAsia="文星标宋" w:hAnsi="宋体" w:hint="eastAsia"/>
          <w:b/>
          <w:color w:val="000000" w:themeColor="text1"/>
          <w:sz w:val="44"/>
          <w:szCs w:val="44"/>
        </w:rPr>
        <w:t>年度区级重点项目情况表</w:t>
      </w:r>
    </w:p>
    <w:tbl>
      <w:tblPr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2"/>
        <w:gridCol w:w="1701"/>
        <w:gridCol w:w="4252"/>
        <w:gridCol w:w="1701"/>
        <w:gridCol w:w="709"/>
        <w:gridCol w:w="533"/>
        <w:gridCol w:w="533"/>
        <w:gridCol w:w="858"/>
        <w:gridCol w:w="858"/>
        <w:gridCol w:w="762"/>
        <w:gridCol w:w="850"/>
        <w:gridCol w:w="709"/>
      </w:tblGrid>
      <w:tr w:rsidR="00E45FCE" w:rsidRPr="001112DD">
        <w:trPr>
          <w:trHeight w:val="425"/>
          <w:tblHeader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主要建设内容及规模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建设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地点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项目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br/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性质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项目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分类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计划开</w:t>
            </w:r>
          </w:p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工时间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计划竣</w:t>
            </w:r>
          </w:p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工时间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总投资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(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万元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年度计划投资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(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万元</w:t>
            </w: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责任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单位</w:t>
            </w:r>
          </w:p>
        </w:tc>
      </w:tr>
      <w:tr w:rsidR="00E45FCE" w:rsidRPr="001112DD">
        <w:trPr>
          <w:trHeight w:val="336"/>
        </w:trPr>
        <w:tc>
          <w:tcPr>
            <w:tcW w:w="13858" w:type="dxa"/>
            <w:gridSpan w:val="12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一、建设类项目：</w:t>
            </w:r>
          </w:p>
        </w:tc>
      </w:tr>
      <w:tr w:rsidR="00E45FCE" w:rsidRPr="001112DD">
        <w:trPr>
          <w:trHeight w:val="2114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汇赢装配式建筑产业园项目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916亩，总建筑面积40万平方米，其中标准厂房建筑面积33万平方米，研发中心、检测中心、办公楼建筑面积3.2万平方米，其它辅助设施建筑面积2.8万平方米，新上装配式钢结构、新型墙体材料、保温隔热材料、装配式建筑部品研发设备及加工生产线，项目建成后形成一个中心、两个基地、四个功能区的产业布局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济南市钢城区汇赢实业有限公司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2021.10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43500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123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山东鲁鸿新材料科技有限公司年产600万平方米软体磁屏蔽新材料项目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项目租赁改造现有厂房，新上600万平方米软体磁屏蔽新材料生产线。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山东鲁鸿新材料科技有限公司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3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山东莱钢磁浮列车轨道工程有限公司10万吨钢材精深加工项目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项目占地38亩，建筑面积2.2万平方米，新建3个车间单体，1个辅助建筑单体。购置主体设备70台（套），建设7万吨/年履带钢精整线2条、1万吨/年门架槽钢加工线1条、2万吨/年钢筋加工线1条。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山东莱钢磁浮列车轨道工程有限公司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285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山东润金重工科技有限公司大型高端精密锻件精深加工项目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项目占地50亩，新建车间1.6万平方米，新上设备40余台（套），建成大型高端精密锻件精深加工生产线1条。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山东润金重工科技有限公司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55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汇锋汽车零部件智能制造项目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汇锋高端汽车部件产业园中汇锋传动、亨格尔、海纳三家公司进行传动齿轮智能制造技术改造，新上半轴坯件锻造线、调质热处理生产线、回火热处理生产线及精加工生产线，购置各类生产、加工设备70台（套），配套实施辅助工程建设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山东汇锋传动股份有限公司、山东亨格尔智能科技有限公司、山东海纳精密机械科技有限公司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22900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21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济南永扬注塑机生产制造项目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项目租赁闲置厂房，新上数控冲床、剪板机、折弯机、等离子切割机、CNC等设备主要研发生产智能注塑机、压铸机等设备等，建设注塑机生产线1条。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济南永扬科技有限公司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453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开发区高端智造产业园基础设施建设项目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北区占地229亩，建筑面积8.7万平方米，主要建设2座钢结构厂房、一座实验室，改造钢结构厂房5万平方米；配套建设道路和污水管网。西区占地72亩，总建筑面积约4万平方米，主要建设信息研发中心一座，钢结构厂房4座；配套建设园区道路、给排水管网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济南市钢城区瑞赢资产管理有限公司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2024.02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34363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2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山东蓝海晶体科技有限公司年产6万吨高纯纳米级单晶体纤维项目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项目占地89亩，总建筑面积6.22万平方米，建设厂房3.52万平方米，购置工艺设备150余台（套）。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山东蓝海晶体科技有限公司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7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莱芜钢铁双山陶土福利加工有限公司年产30万吨钢渣微粉项目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项目占地15亩，建筑面积7000平方米，新建厂房、料仓各一座，购置预粉立磨机一台，球磨机一台，除尘设备14台（套）。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莱芜钢铁双山陶土福利加工有限公司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5945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5945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金雷海上风电装备智能制造项目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项目占地132亩，总建筑面积6.57万平方米，主要建设生产车间、宿舍、研发中心等，新上自动化涂装生产线及精加生产线各一条，购置各类设备共计120台（套）。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金雷科技股份公司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506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年产30万吨高端海上风电零部件数字化制造项目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主要建造铸造车间、机加工车间、模具车间、涂装车间、废砂再生车间、原辅材料车间、办公楼等，总面积34万平方米，购置中频炉、混砂机、抛丸机、无损检测仪等各类生产实验设备1000台（套），形成年产风电主轴及各类大型铸件30万吨的产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金雷科技股份公司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2024.05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360000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1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山东水发瑞乾置业有限公司年产20万吨无机纤维保温岩棉项目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项目占地200亩，总建筑面积6万平方米，建设厂房3.6万平方米，新上高炉熔渣制备无机纤维生产线6条，购置全自动流水线生产设备240套。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山东水发瑞乾置业有限公司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75000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0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山钢新旧动能转换项目（里辛片区）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主要建设1座100t顶底复吹转炉、1台矩形坯连铸机及配套辅助设施。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山东钢铁股份有限公司莱芜分公司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6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莱钢矿建特钢精整深加工产业园项目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项目占地200亩，建筑面积11.7万平方米，新建车间9.2万平方米，安装设备100余台（套），建成特钢精整生产线9条，自动化智能检测废钢精整生产线1条，年生产能力20至30万吨。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莱钢集团矿山建设有限公司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5" name="Text Box 1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2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3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4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5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6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7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8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29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0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4" name="图片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1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2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3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4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8" name="图片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5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6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20" name="图片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7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21" name="图片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8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/>
                <w:b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790575</wp:posOffset>
                  </wp:positionV>
                  <wp:extent cx="361950" cy="942975"/>
                  <wp:effectExtent l="0" t="0" r="0" b="0"/>
                  <wp:wrapNone/>
                  <wp:docPr id="22" name="图片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8820150" y="13687425"/>
                            <a:ext cx="342900" cy="923925"/>
                            <a:chOff x="8820150" y="13687425"/>
                            <a:chExt cx="342900" cy="923925"/>
                          </a:xfrm>
                        </a:grpSpPr>
                        <a:sp>
                          <a:nvSpPr>
                            <a:cNvPr id="3019539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820150" y="13687425"/>
                              <a:ext cx="342900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2022.05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58000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6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温岭精锻年产2万吨高端装备精密锻件智能制造项目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项目占地25亩，主要建设两座车间，建筑面积1万平方米，新上精密锻压机、库卡机器人、数控加工中心等设备43台（套），建成自动化智能精锻生产线3条。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山东温岭精锻科技有限公司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14868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山东银山宝供应链科技有限公司智慧物流项目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项目占地100亩，新建钢材深加工生产厂房30000平方米、标准仓库及堆场8000平方米、综合办公大楼6000平方米，配套建设其他辅助设施。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山东银山宝供应链科技有限公司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50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山钢智能化改造及环境深度治理项目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智能化改造项目：主要实施特钢区域集控中心、焦化区域集控中心、能源动力系统集控中心建设，实施焦化四大车无人化、全厂信息化改造等。环境深度治理项目：对炼铁、炼钢、轧钢等生产工艺中产生的烟气、噪声、废水、粉尘等进行综合治理。配套建设其他投资项目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山东钢铁股份有限公司莱芜分公司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艾山街道、里辛街道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艾山街道、里辛街道</w:t>
            </w:r>
          </w:p>
        </w:tc>
      </w:tr>
      <w:tr w:rsidR="00E45FCE" w:rsidRPr="001112DD">
        <w:trPr>
          <w:trHeight w:val="14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鲁银新材料年产8万吨高端金属粉末生产线系统升级改造项目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新上年产2万吨高端金属还原生产线1条，购置自动包装设备、相关科研设备；对混粉站、成品处理筛分系统进行升级改造；建设注射成形（压制不锈钢）水雾化生产线等。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山东鲁银新材料科技有限公司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2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济南市琦泽欣环保科技有限公司新型环保科技建材项目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项目占地30亩，新建1.2万平方米标准车间、物料仓，新建办公楼、研发试验中心及配套附属设施等。新上自动化新型环保材料混料线2条、新上干料混合机、螺旋式空气压缩机等设备20余台（套）。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济南市琦泽欣环保科技有限公司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2023.06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00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山东保钢建筑安装工程有限公司钢铁科技孵化园项目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项目占地28亩，规划建筑面积1.5万平方米，其中新建钢结构标准车间1.3万平方米，办公科研楼及配套设施2000平方米。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山东保钢建筑安装工程有限公司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7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山东常荣新材料有限公司年产30万吨高速公路护栏项目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项目占地56亩，主要建设钢结构标准厂房2万平方米，办公科研楼等附属设施6000平方米，项目分两期投资建设，一期主要生产新型高速护栏、交通安全设施及钢结构工程材料；二期主要生产高端盘扣式脚手架。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山东常荣新材料有限公司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山东泰金斯锻造有限公司年加工1万吨叉车属具系列产品项目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项目占地36亩，新建生产车间1.3万平方米，新上叉车属具生产线1条，主要产品有侧移器、翻转器、标准货叉等15个品种300余个规格。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山东泰金斯锻造有限公司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0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山钢新旧动能转换项目（艾山片区）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主要建设2台480m²烧结机、2座3800m³高炉、2座120吨转炉连铸系统。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山东钢铁股份有限公司莱芜分公司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2020.03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spacing w:val="-20"/>
                <w:kern w:val="0"/>
                <w:sz w:val="18"/>
                <w:szCs w:val="18"/>
              </w:rPr>
              <w:t>1700000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5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山钢2×65MW富余煤气资源综合利用发电项目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新建2台220t/h超高温超高压一次再热燃气锅炉、2台65MW中间一次再热凝汽式汽轮机组和2台70MW发电机及其配套辅助设施。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山东钢铁股份有限公司莱芜分公司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6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欧冶链金废钢深加工配送基地项目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项目占地100亩，主要建设4万平方米标准厂房仓储车间、废钢交易中心、服务配送中心及信息中心等相关配套设施，建设铁路专线2000米，新上分拣、破碎、剪切加工等相关大型设备40余台（套）。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欧冶链金再生资源有限公司华东分公司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山东中安新能源科技有限公司年产40万吨车桥用管项目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一期占地85亩，建筑面积3.3万平方米，主要建设生产车间2座，购置开卷机、直头机、主动矫平机、自动焊接平台、主动夹送机、定径机等相关设备20台（套）；二期占地106亩，建筑面积4万平方米，建设生产车间2座、办公楼一座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山东中安新能源科技有限公司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48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固旺绿色环保智能装配式建材产业化基地项目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220亩，建筑面积9万平方米，主要建设生产车间、办公楼等。购置智能数控钢筋弯箍机、变配电设施、试验仪器、科研设备等87台（套），建成PC综合智能生产流水线、智能预制拼装综合管廊生产流水线、智能数控钢筋网片焊接生产线等38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济南市钢城区固旺建筑材料有限公司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62300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06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山东正驰金属科技年产10万吨高速护栏立柱项目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项目占地57亩，建筑面积1.5万平方米，主要建设办公楼、生产车间，购置专用设备30台（套），建成高速公路护栏、立柱生产线6条。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山东正驰金属科技有限公司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0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济南之舜再生资源利用有限公司固废资源化利用循环经济示范项目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项目占地23亩，主要新建厂房2万平方米，办公楼1000平方米，购置相关专用设备100台（套），建成固废资源化回收利用生产线2条。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济南之舜再生资源利用有限公司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2021.07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2023.06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山东奇力浦电气科技有限公司年产20万台通用变频器项目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项目占地37亩，建筑面积1.6万平方米，建设车间、办公楼各一座，新上贴片机生产线2条、组装流水线2条，新上剪板机、激光切割机、波峰焊机等设备，达到年产20万台的能力。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山东奇力浦电气科技有限公司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2023.06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6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山东子奥机械制造有限公司机械配件加工项目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项目占地16.9亩，新建生产车间5800平方米，办公楼760平方米，新上起重机、数控机床等设备，年机械配件加工能力15万吨。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山东子奥机械制造有限公司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2021.10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9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巧夺天工红木家具智能制造项目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项目新建车间9600平方米，新上数控隼槽、数控热弯、数控仿型铣、数控雕刻等木工设备30台（套）。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山东巧夺天工家具有限公司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2022.08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78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山东未来畜禽种业国家现代农业产业园项目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总占地1746亩，其中建设用地795亩，按照“双核·双基地”的空间发展布局，主要建设科技创新核心引领区（占地148亩，建筑面积9.2万平方米）、种业产业核心集聚区（占地213亩，建筑面积14.2万平方米）、畜牧保种繁育基地（占地630亩，建筑面积5万平方米）和家禽保种繁育基地（占地690亩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山东农科种业科技有限公司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艾山街道、辛庄街道、里辛街道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36500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区农业农村局</w:t>
            </w:r>
          </w:p>
        </w:tc>
      </w:tr>
      <w:tr w:rsidR="00E45FCE" w:rsidRPr="001112DD">
        <w:trPr>
          <w:trHeight w:val="72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济南能源农光储一体化项目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项目占地1522亩，主要建设莱芜黑猪养殖基地，50MW农光储一体化项目及110kV升压站，配套建设5MW/10MWh储能中心。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济南能源投资控股集团有限公司、济南众成农业发展有限公司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山东宝济实业有限公司高端精密车辆配件加工项目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项目占地30亩，新建厂房8000平方米，新上车辆配件加工生产线2条。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山东宝济实业有限公司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2021.07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</w:tr>
      <w:tr w:rsidR="00E45FCE" w:rsidRPr="001112DD">
        <w:trPr>
          <w:trHeight w:val="127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山东净利洁建筑垃圾处理有限公司垃圾处理及再生一体化项目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项目盘活废旧车间1.2万平方米，建设建筑垃圾处理生产线2条，墙体材料生产线2条，道路材料生产线1条，达到年处理100万吨建筑垃圾的能力。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山东净利洁建筑垃圾处理有限公司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2023.05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</w:tr>
      <w:tr w:rsidR="00E45FCE" w:rsidRPr="001112DD">
        <w:trPr>
          <w:trHeight w:val="120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山东兴盛工矿设备有限公司工矿设备加工及维修项目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项目占地20.46亩，规划建筑面积8300平方米，主要建设办公楼1546平方米，生产车间6663平方米，新上工矿设备加工及维修生产线3条。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山东兴盛工矿设备有限公司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</w:tr>
      <w:tr w:rsidR="00E45FCE" w:rsidRPr="001112DD">
        <w:trPr>
          <w:trHeight w:val="12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山东中彩环保设备集团股份有限公司固废资源利用项目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项目占地188亩，总建筑面积6.6万平方米，新上高温裂解生活垃圾处置生产线1条，建筑垃圾和煤矸石处置生产线各1条。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山东中彩环保设备集团股份有限公司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2022.08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51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济南市钢城区金锴建设开发有限公司现代农业旅游观光产业园项目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新建寨贤路、财富大道，对九龙山环山路进行改造提升；新建龙韵博物馆、龙韵广场、游客接待中心、中草药加工车间、花椒山楂加工车间等；种植3000亩金谷小米、2000亩龙门天椒、5000亩中草药。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济南市钢城区金锴建设开发有限公司、济南市钢城区龙韵牧业专业合作社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2025.12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4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未央山居民宿度假村项目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总占地200亩，以生态观光、休闲度假为核心，打造集观光、休闲、住宿、餐饮、娱乐、拓展于一体的综合性旅游度假区。重点建设30套民宿、水上乐园、真人CS游乐场、采摘园、观光园、网红打卡点、索道等项目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颜庄街道孙家庄村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2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棋山艾乡田园综合体项目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项目总占地5000亩，其中建设用地50亩，主要建设文化产业园、艾草研发中心、游客服务中心、高标准大棚及相关配套设施。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山东棋山艾乡田园综合体有限公司、济南市钢城区昌源水务集团有限公司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棋山国家森林公园发展服务中心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2023.06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棋山国家森林公园发展服务中心</w:t>
            </w:r>
          </w:p>
        </w:tc>
      </w:tr>
      <w:tr w:rsidR="00E45FCE" w:rsidRPr="001112DD">
        <w:trPr>
          <w:trHeight w:val="1111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莱芜市云谷实业有限公司锦龙山现代农业生态园项目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主要建设锦龙山山体公园、青屏山康养中心、牟王城路改造提升等工程，打造集休闲观光、民宿旅游、林下种植等为一体的森林康养旅游基地。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莱芜市云谷实业有限公司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836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莱芜市云谷实业有限公司寄母山文化艺术乡村基地项目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总规划面积约10平方公里，主要建设以石湾子村莱芜战役指挥所为支点的红色文化板块；以大沟村“李逵寄母”故事为支点的中国传统文化板块；以红崖村为支点的民间民俗文化板块；以海棠园为支点的世界优秀文化板块；以区域内好山好水好风光为支点的生态文化板块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莱芜市云谷实业有限公司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0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钢城区文体中心项目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项目占地274.2亩，总建筑面积17.8万平方米，其中地上总建筑面积为13.5万平方米，地下建筑面积为4.3万平方米，主要建设文化中心、演艺中心、体育中心、市民广场。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济南市钢城区文泽基础设施投资管理有限公司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169800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区住房城乡建设局</w:t>
            </w:r>
          </w:p>
        </w:tc>
      </w:tr>
      <w:tr w:rsidR="00E45FCE" w:rsidRPr="001112DD">
        <w:trPr>
          <w:trHeight w:val="118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济南钢城中赢城市发展有限公司幸福里商居综合体项目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项目占地253亩，建筑面积约30万平方米，主要建设旧村改造安置区、企业人才大厦、专家公寓、商业酒店餐饮及职工安居楼等设施。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济南钢城中赢城市发展有限公司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2025.12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06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济南创弘置业有限公司滨河天境商居综合体项目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项目占地150亩，总建筑面积约29万平方米，主要建设住宅楼35栋、停车位1959个、充电桩200个。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济南创弘置业有限公司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2024.12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08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山东南嘉北瑞置业有限公司锦绣德宝商居综合体项目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项目占地30.52亩，总建筑面积5.6万平方米，主要建设6栋住宅小区、1栋多层配套商业楼及相应配套设施。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山东南嘉北瑞置业有限公司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2021.08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29600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17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济南市金裕房地产开发有限公司富贵苑商居综合体项目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项目占地30亩，总建筑面积约5万平方米，其中住宅建筑面积约3.8万平方米，新建6栋5+1F住宅楼、2栋10+1F住宅楼、1栋2F配套楼。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济南市金裕房地产开发有限公司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2024.03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68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钢城区养老服务中心项目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项目占地32.2亩，总建筑面积21631.3平方米，共设置床位550张。其中，一期占地面积21.1亩，建筑面积1.5万平方米，设置床位350张。二期占地面积11.1亩，建筑面积6631.3平方米，设置床位200张。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区民政局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2021.10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2023.03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17400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区民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政局</w:t>
            </w:r>
          </w:p>
        </w:tc>
      </w:tr>
      <w:tr w:rsidR="00E45FCE" w:rsidRPr="001112DD">
        <w:trPr>
          <w:trHeight w:val="1211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钢城区东郊公墓及殡仪服务中心项目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东郊公墓项目：占地56.25亩，配套建设管理中心、普通广场、绿化及道路等。殡仪服务中心项目：占地32.2亩，新建悼念厅、服务中心以及其他附属设施。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2022.06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区民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政局</w:t>
            </w:r>
          </w:p>
        </w:tc>
      </w:tr>
      <w:tr w:rsidR="00E45FCE" w:rsidRPr="001112DD">
        <w:trPr>
          <w:trHeight w:val="1511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新汶矿业集团莱芜中心医院门诊住院综合诊疗楼、应急诊疗楼项目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门诊住院综合诊疗楼占地12.3亩，总建筑面积4.5万平方米，主要建设16层综合诊疗楼1栋。应急诊疗楼占地2.4亩，总建筑面积4850平方米，主要建设应急诊疗楼一栋，购置相关设备22台（套），新增床位60张。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新汶矿业集团莱芜中心医院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40848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颜庄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354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区级医疗卫生系统综合提升项目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中医院占地面积24.3亩，总建筑面积39018平方米，可提供床位数299张。疾控中心占地10.8亩，建筑面积14130平方米。里辛中心卫生院占地20亩，建筑面积8147平方米，主要建设综合楼、公卫楼、发热门诊综合楼等。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F72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区卫生健康局、</w:t>
            </w:r>
          </w:p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里辛街道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区卫生健康局、里辛街道</w:t>
            </w:r>
          </w:p>
        </w:tc>
      </w:tr>
      <w:tr w:rsidR="00E45FCE" w:rsidRPr="001112DD">
        <w:trPr>
          <w:trHeight w:val="11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济南市第八人民医院门诊医技综合楼项目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项目占地15亩，改造门诊用房，建筑面积1.9万平方米。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F72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济南市第八</w:t>
            </w:r>
          </w:p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15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钢城区便民市场项目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新建、改造提升汶水路农贸市场、樱花园市场（一期）、城区西部农贸市场、大汶河夜市等。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莱芜民生实业有限公司、济南市钢城区昌源水务集团有限公司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艾山街道、汶源街道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18400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区城管局、昌源水务有限公司</w:t>
            </w:r>
          </w:p>
        </w:tc>
      </w:tr>
      <w:tr w:rsidR="00E45FCE" w:rsidRPr="001112DD">
        <w:trPr>
          <w:trHeight w:val="136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济南市钢城区金盘龙果蔬专业合作社“花开辛庄”现代农业产业示范园项目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主要建设金盘龙无公害农产品产业园（占地面积155亩）、七彩兰玫产业园（占地面积150亩）、辛庄瓜果蔬菜种植大棚项目（占地面积480亩）等项目。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济南市钢城区金盘龙果蔬专业合作社、莱芜市云谷实业有限公司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一产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02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钢城区金水河幼儿园项目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项目占地31.9亩，总建筑面积1.3万平方米，主要建设幼儿园1#主楼、2#辅房及换热站等市政配套设施。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2022.05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2023.05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</w:t>
            </w:r>
          </w:p>
        </w:tc>
      </w:tr>
      <w:tr w:rsidR="00E45FCE" w:rsidRPr="001112DD">
        <w:trPr>
          <w:trHeight w:val="10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经济开发区智慧停车场项目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在双泉路、鸣翔大街、双元大街、钢城大街沿线分别建设4个智慧停车场，配套规划智能停车位、充电桩。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济南市钢城区瑞赢资产管理有限公司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112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里辛街道冯家庄安置区项目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项目占地74亩，总建筑面积7.4万平方米，其中住宅楼16栋，每栋楼5层，建筑面积5.5万平方米，物业等公辅设施建筑面积1400平方米。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里辛街道冯家庄村民委员会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2020.08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22000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506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汶源街道桲椤安置区项目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项目一期占地32.79亩，地上总建筑面积约6.99万平方米，主要建设住宅楼4栋，公共辅助楼1栋。二期占地219.3亩，地上总建筑面积32.15万平方米，建设住宅楼30栋、商业楼2栋、公共辅助楼1栋、幼儿园楼1栋。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汶源街道桲椤社区居委会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279000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20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南部新城付家桥安置区项目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项目占地14.75亩，建筑面积1.2万平方米，在汶水二区以南大汶河路以北建设五层居民楼3栋、四层居民楼1栋，安置居民114户。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2022.01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2023.11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南部新城建设服务中心</w:t>
            </w:r>
          </w:p>
        </w:tc>
      </w:tr>
      <w:tr w:rsidR="00E45FCE" w:rsidRPr="001112DD">
        <w:trPr>
          <w:trHeight w:val="114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钢城高铁站综合配套建设项目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项目占地24亩，通站道路全长1公里，站前广场2000平方米，连接三条通站市政道路以及停车场。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济南轨道交通集团有限公司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2023.06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39100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447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钢城区第二批乡村振兴齐鲁样板示范村项目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项目主要对辛庄街道6个村、里辛街道1个村的基础设施、道路河道、民居院落、景观广场等进行全面改造升级，打造桑园-崖下-赵家庄村文化主题示范线和乔店-后峪-石湾子红色教育示范线。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辛庄街道、里辛街道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辛庄街道、里辛街道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2022.08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辛庄街道、里辛街道</w:t>
            </w:r>
          </w:p>
        </w:tc>
      </w:tr>
      <w:tr w:rsidR="00E45FCE" w:rsidRPr="001112DD">
        <w:trPr>
          <w:trHeight w:val="10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钢城区2022年老旧小区基础设施改造项目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项目占地124.9亩，改造面积约计8.3万平方米，涉及7个社区的20个小区，涉及居民864户。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莱芜民生实业有限公司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艾山街道、汶源街道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2022.02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2022.10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区住房城乡建设局</w:t>
            </w:r>
          </w:p>
        </w:tc>
      </w:tr>
      <w:tr w:rsidR="00E45FCE" w:rsidRPr="001112DD">
        <w:trPr>
          <w:trHeight w:val="124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钢城区集中供暖改造项目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项目主要实施高炉冲渣水热源建设,收集利用型钢炼铁3#高炉冲渣水，新建换热站一处，并改造双泉路一级供热管网1千米。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济南和钢能源有限公司、金鼎热力公司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艾山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2022.10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区住房城乡建设局</w:t>
            </w:r>
          </w:p>
        </w:tc>
      </w:tr>
      <w:tr w:rsidR="00E45FCE" w:rsidRPr="001112DD">
        <w:trPr>
          <w:trHeight w:val="1364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钢城区山体生态恢复治理项目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对艾山公园、双龙山、府前大街、钢都大街、九龙西大街裸露山体、土地进行治理；依托黄羊山、磨石山、栾家岭自然山体，以公园布局、造景等方式，建设黄羊山山体公园、青年公园山体公园、磨石山山体公园、栾家岭山体公园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莱芜益民实业有限公司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2022.04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区住房城乡建设局</w:t>
            </w:r>
          </w:p>
        </w:tc>
      </w:tr>
      <w:tr w:rsidR="00E45FCE" w:rsidRPr="001112DD">
        <w:trPr>
          <w:trHeight w:val="1154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钢城区大汶河水环境综合治理项目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项目主要在大汶河流域钢城段清淤疏浚约37km，污染底泥清理9.6km，河道两侧建设生态护岸27.6km，河道两侧共建设防汛路25.7km，配套桥梁、橡胶坝等公辅设施建设、维修。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济南市钢城区昌源水务集团有限公司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2021.03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2022.12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102800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62800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区水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务局</w:t>
            </w:r>
          </w:p>
        </w:tc>
      </w:tr>
      <w:tr w:rsidR="00E45FCE" w:rsidRPr="001112DD">
        <w:trPr>
          <w:trHeight w:val="92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钢城区大汶河支流河道治理项目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对颜庄河、闫王河、黄庄河及大汶河西部支流等共10条河道进行清淤疏浚，新建生态护岸、生态隔离带、生态步道以及生产桥、挡水堰等其他工程建设。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济南市钢城区昌源水务集团有限公司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45900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27540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区水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务局</w:t>
            </w:r>
          </w:p>
        </w:tc>
      </w:tr>
      <w:tr w:rsidR="00E45FCE" w:rsidRPr="001112DD">
        <w:trPr>
          <w:trHeight w:val="1838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钢城区城市污水、内涝综合治理项目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污水治理项目：新建加压泵站一座；改造升级污水处理厂，新建改造雨污收集管网。城市内涝治理项目：主要实施双山河综合治理、雨水管道建设等工程，构建城市内涝预警与应急调度数字化综合信息管理平台。城市雨污分流项目：主要实施建筑小区雨污分流改造工程、市政雨污合流管线改造等工程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济南市钢城区昌源水务集团有限公司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29000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区水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务局</w:t>
            </w:r>
          </w:p>
        </w:tc>
      </w:tr>
      <w:tr w:rsidR="00E45FCE" w:rsidRPr="001112DD">
        <w:trPr>
          <w:trHeight w:val="130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钢城区道路提升项目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城市道路改造提升项目：主要对金水路、友谊大街等8条道路进行提升改造，新增候车厅设施。农村人居环境综合整治提升项目：对全区20个村庄的村内主要干道进行“白改黑”，维修道路200公里。东外环、南外环等完成路面大修43.3万平方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区交通运输局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续建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2021.03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2023.10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78500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区交通运输局</w:t>
            </w:r>
          </w:p>
        </w:tc>
      </w:tr>
      <w:tr w:rsidR="00E45FCE" w:rsidRPr="001112DD">
        <w:trPr>
          <w:trHeight w:val="106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钢城区分布式光伏整县推进项目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在钢城区建筑屋顶开发建设屋顶分布式光伏240MW，“十四五”期间完成建设目标。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济南能源环保科技有限公司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2025.12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91200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各街道（功能区）</w:t>
            </w:r>
          </w:p>
        </w:tc>
      </w:tr>
      <w:tr w:rsidR="00E45FCE" w:rsidRPr="001112DD">
        <w:trPr>
          <w:trHeight w:val="513"/>
        </w:trPr>
        <w:tc>
          <w:tcPr>
            <w:tcW w:w="13858" w:type="dxa"/>
            <w:gridSpan w:val="12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eastAsia="黑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黑体" w:hAnsi="宋体" w:cs="宋体" w:hint="eastAsia"/>
                <w:b/>
                <w:kern w:val="0"/>
                <w:sz w:val="18"/>
                <w:szCs w:val="18"/>
              </w:rPr>
              <w:t>二、预备类项目：</w:t>
            </w:r>
          </w:p>
        </w:tc>
      </w:tr>
      <w:tr w:rsidR="00E45FCE" w:rsidRPr="001112DD">
        <w:trPr>
          <w:trHeight w:val="691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巨博高端环保装备项目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项目占地45亩，建筑面积2.5万平方米，新上中试及示范生产线两条，年产高端成套钢渣处理设备150台（套）。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巨博（山东）环保科技发展有限公司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经济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开发区</w:t>
            </w:r>
          </w:p>
        </w:tc>
      </w:tr>
      <w:tr w:rsidR="00E45FCE" w:rsidRPr="001112DD">
        <w:trPr>
          <w:trHeight w:val="794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山钢小型轧钢生产线及配套连铸机升级改造项目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项目主要建设1条年产量为60万吨圆棒生产线，配套1台6机6流方坯连铸机及3条连续精整线。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山东钢铁股份有限公司莱芜分公司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9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红星美凯龙商贸综合体项目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项目盘活沃商广场（总建筑面积12万平方米），打造集爱琴海项目与红星美凯龙家居生活广场为一体的综合体中心。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上海红星美凯龙房地产集团有限公司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2023.06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汶源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1038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钢城区土地综合整治项目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辛庄街道：对9个采煤塌陷村、3个高铁穿行村、3个严重空心村进行拆迁、搬迁安置。颜庄街道：对5个村进行搬迁撤并复垦，对3个工矿废弃地进行复垦。实施土地综合整治。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山东省土地发展集团有限公司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辛庄街道、颜庄街道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2024.12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159500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669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钢城至莱芜快速路项目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主要新建、改造提升汶河东路项目（总长4公里）、苗里线项目（总长12公里）。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区交通运输局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区交通运输局</w:t>
            </w:r>
          </w:p>
        </w:tc>
      </w:tr>
      <w:tr w:rsidR="00E45FCE" w:rsidRPr="001112DD">
        <w:trPr>
          <w:trHeight w:val="536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斯普润啤酒二期项目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spacing w:val="-4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spacing w:val="-4"/>
                <w:kern w:val="0"/>
                <w:sz w:val="18"/>
                <w:szCs w:val="18"/>
              </w:rPr>
              <w:t>项目占地44亩，主要建设生产车间、原料仓库，新上纯净水生产线、马口铁饮料罐全自动生产线各2条。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济南市斯普润啤酒有限公司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二产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辛庄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</w:tr>
      <w:tr w:rsidR="00E45FCE" w:rsidRPr="001112DD">
        <w:trPr>
          <w:trHeight w:val="852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畜禽粪污资源化利用整县推进项目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计划完成16家养殖场提升改造，建设畜禽资源化利用设施；配套购置运输罐车、撒肥机、除臭设备以及粪肥计量、养分测定等分析检测仪器。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15家大型养殖场和1家社会化服务组织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一产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区农业农村局</w:t>
            </w:r>
          </w:p>
        </w:tc>
      </w:tr>
      <w:tr w:rsidR="00E45FCE" w:rsidRPr="001112DD">
        <w:trPr>
          <w:trHeight w:val="780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黑猪养殖深加工项目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新建、改建标准化猪舍6500平方米，增加可繁育母猪及后备母猪700头，增加存栏4500头，新建屠宰及深加工厂房3500平方米。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山东一禾集团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里辛</w:t>
            </w:r>
          </w:p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街道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一产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2022.06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2023.12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区农业农村局</w:t>
            </w:r>
          </w:p>
        </w:tc>
      </w:tr>
      <w:tr w:rsidR="00E45FCE" w:rsidRPr="001112DD">
        <w:trPr>
          <w:trHeight w:val="815"/>
        </w:trPr>
        <w:tc>
          <w:tcPr>
            <w:tcW w:w="39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钢城区农村人居环境综合整治提升项目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对全区201个行政村村内绿化、户厕、作物秸秆综合利用等项目进行改造提升，与中冶节能环保有限责任公司合作，对全区农村人居环境进行综合整治。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区农业农村局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钢城区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新建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基础设施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2022.04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2025.12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28103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5FCE" w:rsidRPr="001112DD" w:rsidRDefault="003A3F5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112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区农业农村局</w:t>
            </w:r>
          </w:p>
        </w:tc>
      </w:tr>
    </w:tbl>
    <w:p w:rsidR="00E45FCE" w:rsidRPr="001112DD" w:rsidRDefault="00E45FCE">
      <w:pPr>
        <w:pStyle w:val="2"/>
        <w:spacing w:line="240" w:lineRule="exact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spacing w:line="240" w:lineRule="exact"/>
        <w:ind w:firstLineChars="0" w:firstLine="0"/>
        <w:rPr>
          <w:rFonts w:ascii="宋体" w:hAnsi="宋体"/>
          <w:b/>
        </w:rPr>
        <w:sectPr w:rsidR="00E45FCE" w:rsidRPr="001112DD" w:rsidSect="00895C9C">
          <w:pgSz w:w="16838" w:h="11906" w:orient="landscape"/>
          <w:pgMar w:top="1531" w:right="1361" w:bottom="1531" w:left="1701" w:header="851" w:footer="992" w:gutter="0"/>
          <w:cols w:space="425"/>
          <w:docGrid w:type="linesAndChars" w:linePitch="312"/>
        </w:sect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pStyle w:val="2"/>
        <w:ind w:firstLineChars="0" w:firstLine="0"/>
        <w:rPr>
          <w:rFonts w:ascii="宋体" w:hAnsi="宋体"/>
          <w:b/>
        </w:rPr>
      </w:pPr>
    </w:p>
    <w:p w:rsidR="00E45FCE" w:rsidRPr="001112DD" w:rsidRDefault="00E45FCE">
      <w:pPr>
        <w:spacing w:line="400" w:lineRule="exact"/>
        <w:rPr>
          <w:rFonts w:ascii="宋体" w:eastAsia="仿宋_GB2312" w:hAnsi="宋体"/>
          <w:b/>
        </w:rPr>
      </w:pPr>
    </w:p>
    <w:p w:rsidR="00E45FCE" w:rsidRPr="001112DD" w:rsidRDefault="00E45FCE">
      <w:pPr>
        <w:spacing w:line="240" w:lineRule="exact"/>
        <w:ind w:firstLine="360"/>
        <w:rPr>
          <w:rFonts w:ascii="宋体" w:eastAsia="新宋体" w:hAnsi="宋体"/>
          <w:b/>
        </w:rPr>
      </w:pPr>
    </w:p>
    <w:p w:rsidR="00E45FCE" w:rsidRPr="001112DD" w:rsidRDefault="00E45FCE">
      <w:pPr>
        <w:spacing w:line="280" w:lineRule="exact"/>
        <w:ind w:firstLine="357"/>
        <w:rPr>
          <w:rFonts w:ascii="宋体" w:eastAsia="新宋体" w:hAnsi="宋体"/>
          <w:b/>
        </w:rPr>
      </w:pPr>
    </w:p>
    <w:p w:rsidR="00E45FCE" w:rsidRPr="001112DD" w:rsidRDefault="008748F0">
      <w:pPr>
        <w:spacing w:line="240" w:lineRule="exact"/>
        <w:ind w:firstLine="360"/>
        <w:rPr>
          <w:rFonts w:ascii="宋体" w:eastAsia="新宋体" w:hAnsi="宋体"/>
          <w:b/>
        </w:rPr>
      </w:pPr>
      <w:r w:rsidRPr="001112DD">
        <w:rPr>
          <w:rFonts w:ascii="宋体" w:eastAsia="宋体" w:hAnsi="宋体" w:cs="Calibri"/>
          <w:b/>
        </w:rPr>
        <w:pict>
          <v:line id="Line 3" o:spid="_x0000_s2052" style="position:absolute;left:0;text-align:left;flip:y;z-index:-251656192" from=".7pt,11.3pt" to="441.5pt,11.3pt" strokeweight="1.5pt"/>
        </w:pict>
      </w:r>
    </w:p>
    <w:p w:rsidR="00E45FCE" w:rsidRPr="001112DD" w:rsidRDefault="008748F0">
      <w:pPr>
        <w:jc w:val="center"/>
        <w:rPr>
          <w:rFonts w:ascii="宋体" w:eastAsia="文星仿宋" w:hAnsi="宋体" w:hint="eastAsia"/>
          <w:b/>
          <w:color w:val="000000" w:themeColor="text1"/>
        </w:rPr>
      </w:pPr>
      <w:r w:rsidRPr="001112DD">
        <w:rPr>
          <w:rFonts w:ascii="宋体" w:eastAsia="文星仿宋" w:hAnsi="宋体" w:cs="Calibri" w:hint="eastAsia"/>
          <w:b/>
          <w:szCs w:val="21"/>
        </w:rPr>
        <w:pict>
          <v:line id="直线 7" o:spid="_x0000_s2051" style="position:absolute;left:0;text-align:left;z-index:-251657216" from=".7pt,31.3pt" to="441.5pt,31.3pt" strokeweight="1.5pt"/>
        </w:pict>
      </w:r>
      <w:r w:rsidR="003A3F52" w:rsidRPr="001112DD">
        <w:rPr>
          <w:rStyle w:val="txt1"/>
          <w:rFonts w:eastAsia="文星仿宋" w:cs="方正仿宋简体" w:hint="eastAsia"/>
          <w:b/>
          <w:sz w:val="32"/>
          <w:szCs w:val="32"/>
        </w:rPr>
        <w:t>济南市钢城区人民政府办公室</w:t>
      </w:r>
      <w:r w:rsidR="00367F72" w:rsidRPr="001112DD">
        <w:rPr>
          <w:rStyle w:val="txt1"/>
          <w:rFonts w:eastAsia="文星仿宋" w:cs="方正仿宋简体" w:hint="eastAsia"/>
          <w:b/>
          <w:sz w:val="32"/>
          <w:szCs w:val="32"/>
        </w:rPr>
        <w:t xml:space="preserve">       </w:t>
      </w:r>
      <w:r w:rsidR="00367F72" w:rsidRPr="001112DD">
        <w:rPr>
          <w:rStyle w:val="txt1"/>
          <w:rFonts w:eastAsia="文星仿宋" w:cs="方正仿宋简体" w:hint="eastAsia"/>
          <w:b/>
          <w:color w:val="000000" w:themeColor="text1"/>
          <w:sz w:val="32"/>
          <w:szCs w:val="32"/>
        </w:rPr>
        <w:t xml:space="preserve"> </w:t>
      </w:r>
      <w:r w:rsidR="003A3F52" w:rsidRPr="001112DD">
        <w:rPr>
          <w:rStyle w:val="txt1"/>
          <w:rFonts w:eastAsia="文星仿宋" w:hint="eastAsia"/>
          <w:b/>
          <w:color w:val="000000" w:themeColor="text1"/>
          <w:sz w:val="32"/>
          <w:szCs w:val="32"/>
        </w:rPr>
        <w:t>2022</w:t>
      </w:r>
      <w:r w:rsidR="003A3F52" w:rsidRPr="001112DD">
        <w:rPr>
          <w:rStyle w:val="txt1"/>
          <w:rFonts w:eastAsia="文星仿宋" w:cs="方正仿宋简体" w:hint="eastAsia"/>
          <w:b/>
          <w:color w:val="000000" w:themeColor="text1"/>
          <w:sz w:val="32"/>
          <w:szCs w:val="32"/>
        </w:rPr>
        <w:t>年</w:t>
      </w:r>
      <w:r w:rsidR="003A3F52" w:rsidRPr="001112DD">
        <w:rPr>
          <w:rStyle w:val="txt1"/>
          <w:rFonts w:eastAsia="文星仿宋" w:hint="eastAsia"/>
          <w:b/>
          <w:color w:val="000000" w:themeColor="text1"/>
          <w:sz w:val="32"/>
          <w:szCs w:val="32"/>
        </w:rPr>
        <w:t>2</w:t>
      </w:r>
      <w:r w:rsidR="003A3F52" w:rsidRPr="001112DD">
        <w:rPr>
          <w:rStyle w:val="txt1"/>
          <w:rFonts w:eastAsia="文星仿宋" w:cs="方正仿宋简体" w:hint="eastAsia"/>
          <w:b/>
          <w:color w:val="000000" w:themeColor="text1"/>
          <w:sz w:val="32"/>
          <w:szCs w:val="32"/>
        </w:rPr>
        <w:t>月</w:t>
      </w:r>
      <w:r w:rsidR="00367F72" w:rsidRPr="001112DD">
        <w:rPr>
          <w:rStyle w:val="txt1"/>
          <w:rFonts w:eastAsia="文星仿宋" w:cs="方正仿宋简体" w:hint="eastAsia"/>
          <w:b/>
          <w:color w:val="000000" w:themeColor="text1"/>
          <w:sz w:val="32"/>
          <w:szCs w:val="32"/>
        </w:rPr>
        <w:t>22</w:t>
      </w:r>
      <w:r w:rsidR="003A3F52" w:rsidRPr="001112DD">
        <w:rPr>
          <w:rStyle w:val="txt1"/>
          <w:rFonts w:eastAsia="文星仿宋" w:cs="方正仿宋简体" w:hint="eastAsia"/>
          <w:b/>
          <w:color w:val="000000" w:themeColor="text1"/>
          <w:sz w:val="32"/>
          <w:szCs w:val="32"/>
        </w:rPr>
        <w:t>日印发</w:t>
      </w:r>
    </w:p>
    <w:sectPr w:rsidR="00E45FCE" w:rsidRPr="001112DD" w:rsidSect="00E45FCE">
      <w:pgSz w:w="11906" w:h="16838"/>
      <w:pgMar w:top="1531" w:right="1531" w:bottom="153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9EF" w:rsidRDefault="000439EF" w:rsidP="00E45FCE">
      <w:r>
        <w:separator/>
      </w:r>
    </w:p>
  </w:endnote>
  <w:endnote w:type="continuationSeparator" w:id="0">
    <w:p w:rsidR="000439EF" w:rsidRDefault="000439EF" w:rsidP="00E45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  <w:rFonts w:ascii="Times New Roman" w:hAnsi="Times New Roman" w:cs="Times New Roman" w:hint="eastAsia"/>
        <w:sz w:val="24"/>
      </w:rPr>
      <w:id w:val="11610203"/>
    </w:sdtPr>
    <w:sdtContent>
      <w:p w:rsidR="00E45FCE" w:rsidRDefault="003A3F52">
        <w:pPr>
          <w:pStyle w:val="a5"/>
          <w:framePr w:wrap="around" w:vAnchor="text" w:hAnchor="margin" w:xAlign="outside" w:y="1"/>
          <w:rPr>
            <w:rStyle w:val="a7"/>
            <w:rFonts w:ascii="Times New Roman" w:hAnsi="Times New Roman" w:cs="Times New Roman"/>
            <w:sz w:val="24"/>
          </w:rPr>
        </w:pPr>
        <w:r>
          <w:rPr>
            <w:rStyle w:val="a7"/>
            <w:rFonts w:ascii="Times New Roman" w:hAnsi="Times New Roman" w:cs="Times New Roman" w:hint="eastAsia"/>
            <w:sz w:val="24"/>
          </w:rPr>
          <w:t>—</w:t>
        </w:r>
        <w:r w:rsidR="008748F0">
          <w:rPr>
            <w:rStyle w:val="a7"/>
            <w:rFonts w:ascii="Times New Roman" w:hAnsi="Times New Roman" w:cs="Times New Roman"/>
            <w:sz w:val="24"/>
          </w:rPr>
          <w:fldChar w:fldCharType="begin"/>
        </w:r>
        <w:r>
          <w:rPr>
            <w:rStyle w:val="a7"/>
            <w:rFonts w:ascii="Times New Roman" w:hAnsi="Times New Roman" w:cs="Times New Roman"/>
            <w:sz w:val="24"/>
          </w:rPr>
          <w:instrText xml:space="preserve">PAGE  </w:instrText>
        </w:r>
        <w:r w:rsidR="008748F0">
          <w:rPr>
            <w:rStyle w:val="a7"/>
            <w:rFonts w:ascii="Times New Roman" w:hAnsi="Times New Roman" w:cs="Times New Roman"/>
            <w:sz w:val="24"/>
          </w:rPr>
          <w:fldChar w:fldCharType="separate"/>
        </w:r>
        <w:r w:rsidR="000439EF">
          <w:rPr>
            <w:rStyle w:val="a7"/>
            <w:rFonts w:ascii="Times New Roman" w:hAnsi="Times New Roman" w:cs="Times New Roman"/>
            <w:noProof/>
            <w:sz w:val="24"/>
          </w:rPr>
          <w:t>1</w:t>
        </w:r>
        <w:r w:rsidR="008748F0">
          <w:rPr>
            <w:rStyle w:val="a7"/>
            <w:rFonts w:ascii="Times New Roman" w:hAnsi="Times New Roman" w:cs="Times New Roman"/>
            <w:sz w:val="24"/>
          </w:rPr>
          <w:fldChar w:fldCharType="end"/>
        </w:r>
        <w:r>
          <w:rPr>
            <w:rStyle w:val="a7"/>
            <w:rFonts w:ascii="Times New Roman" w:hAnsi="Times New Roman" w:cs="Times New Roman" w:hint="eastAsia"/>
            <w:sz w:val="24"/>
          </w:rPr>
          <w:t>—</w:t>
        </w:r>
      </w:p>
    </w:sdtContent>
  </w:sdt>
  <w:p w:rsidR="00E45FCE" w:rsidRDefault="00E45F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9EF" w:rsidRDefault="000439EF" w:rsidP="00E45FCE">
      <w:r>
        <w:separator/>
      </w:r>
    </w:p>
  </w:footnote>
  <w:footnote w:type="continuationSeparator" w:id="0">
    <w:p w:rsidR="000439EF" w:rsidRDefault="000439EF" w:rsidP="00E45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52B61EF"/>
    <w:rsid w:val="000156A8"/>
    <w:rsid w:val="00026E94"/>
    <w:rsid w:val="000439EF"/>
    <w:rsid w:val="000B372F"/>
    <w:rsid w:val="000B65ED"/>
    <w:rsid w:val="001112DD"/>
    <w:rsid w:val="00116051"/>
    <w:rsid w:val="00135DFC"/>
    <w:rsid w:val="00186E28"/>
    <w:rsid w:val="00196F81"/>
    <w:rsid w:val="001C5A37"/>
    <w:rsid w:val="001D1A1B"/>
    <w:rsid w:val="00217D4F"/>
    <w:rsid w:val="00273509"/>
    <w:rsid w:val="003550DC"/>
    <w:rsid w:val="00367F72"/>
    <w:rsid w:val="003A3F52"/>
    <w:rsid w:val="003C16EA"/>
    <w:rsid w:val="003C1FC7"/>
    <w:rsid w:val="004071E2"/>
    <w:rsid w:val="00415E3B"/>
    <w:rsid w:val="004E5200"/>
    <w:rsid w:val="005127C2"/>
    <w:rsid w:val="00585BC7"/>
    <w:rsid w:val="00592544"/>
    <w:rsid w:val="005B201E"/>
    <w:rsid w:val="005D64EC"/>
    <w:rsid w:val="0066005C"/>
    <w:rsid w:val="00673D6A"/>
    <w:rsid w:val="00813BC8"/>
    <w:rsid w:val="008748F0"/>
    <w:rsid w:val="00895C9C"/>
    <w:rsid w:val="009066BC"/>
    <w:rsid w:val="009A2A20"/>
    <w:rsid w:val="009B7E1C"/>
    <w:rsid w:val="009E14DF"/>
    <w:rsid w:val="00A132F2"/>
    <w:rsid w:val="00AB4F5C"/>
    <w:rsid w:val="00AC1617"/>
    <w:rsid w:val="00B13E6A"/>
    <w:rsid w:val="00BE66B8"/>
    <w:rsid w:val="00BF531B"/>
    <w:rsid w:val="00C223D9"/>
    <w:rsid w:val="00D316A5"/>
    <w:rsid w:val="00D364C5"/>
    <w:rsid w:val="00D75DA2"/>
    <w:rsid w:val="00DB10B8"/>
    <w:rsid w:val="00E45FCE"/>
    <w:rsid w:val="00F0641B"/>
    <w:rsid w:val="00F11C06"/>
    <w:rsid w:val="00F748F5"/>
    <w:rsid w:val="020967F0"/>
    <w:rsid w:val="052B61EF"/>
    <w:rsid w:val="07826680"/>
    <w:rsid w:val="1D540E0F"/>
    <w:rsid w:val="208A0F24"/>
    <w:rsid w:val="24096D5A"/>
    <w:rsid w:val="29EF38C2"/>
    <w:rsid w:val="2EBB52EB"/>
    <w:rsid w:val="2FE85AD2"/>
    <w:rsid w:val="343668E0"/>
    <w:rsid w:val="3B03785A"/>
    <w:rsid w:val="3C924BF8"/>
    <w:rsid w:val="3CD95ADA"/>
    <w:rsid w:val="46607F75"/>
    <w:rsid w:val="48873032"/>
    <w:rsid w:val="4AB8125D"/>
    <w:rsid w:val="4BAB3A41"/>
    <w:rsid w:val="4BBB6A78"/>
    <w:rsid w:val="4D030F9F"/>
    <w:rsid w:val="5A73568A"/>
    <w:rsid w:val="61050BB9"/>
    <w:rsid w:val="63262F04"/>
    <w:rsid w:val="7F4B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45F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qFormat/>
    <w:rsid w:val="00E45FCE"/>
    <w:pPr>
      <w:spacing w:after="0" w:line="560" w:lineRule="exact"/>
      <w:ind w:leftChars="0" w:left="0" w:firstLineChars="200" w:firstLine="420"/>
    </w:pPr>
    <w:rPr>
      <w:rFonts w:ascii="仿宋_GB2312"/>
    </w:rPr>
  </w:style>
  <w:style w:type="paragraph" w:styleId="a3">
    <w:name w:val="Body Text Indent"/>
    <w:basedOn w:val="a"/>
    <w:link w:val="Char"/>
    <w:uiPriority w:val="99"/>
    <w:qFormat/>
    <w:rsid w:val="00E45FCE"/>
    <w:pPr>
      <w:spacing w:after="120"/>
      <w:ind w:leftChars="200" w:left="420"/>
    </w:pPr>
  </w:style>
  <w:style w:type="paragraph" w:styleId="a4">
    <w:name w:val="Balloon Text"/>
    <w:basedOn w:val="a"/>
    <w:link w:val="Char0"/>
    <w:qFormat/>
    <w:rsid w:val="00E45FC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4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  <w:qFormat/>
    <w:rsid w:val="00E45FCE"/>
  </w:style>
  <w:style w:type="character" w:customStyle="1" w:styleId="Char">
    <w:name w:val="正文文本缩进 Char"/>
    <w:basedOn w:val="a0"/>
    <w:link w:val="a3"/>
    <w:uiPriority w:val="99"/>
    <w:qFormat/>
    <w:rsid w:val="00E45FC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sid w:val="00E45FCE"/>
    <w:rPr>
      <w:rFonts w:ascii="仿宋_GB2312"/>
    </w:rPr>
  </w:style>
  <w:style w:type="character" w:customStyle="1" w:styleId="Char2">
    <w:name w:val="页眉 Char"/>
    <w:basedOn w:val="a0"/>
    <w:link w:val="a6"/>
    <w:qFormat/>
    <w:rsid w:val="00E45F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45F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txt1">
    <w:name w:val="txt1"/>
    <w:basedOn w:val="a0"/>
    <w:uiPriority w:val="99"/>
    <w:qFormat/>
    <w:rsid w:val="00E45FCE"/>
    <w:rPr>
      <w:rFonts w:ascii="宋体" w:eastAsia="宋体" w:hAnsi="宋体" w:cs="宋体"/>
      <w:sz w:val="22"/>
      <w:szCs w:val="22"/>
    </w:rPr>
  </w:style>
  <w:style w:type="character" w:customStyle="1" w:styleId="Char0">
    <w:name w:val="批注框文本 Char"/>
    <w:basedOn w:val="a0"/>
    <w:link w:val="a4"/>
    <w:qFormat/>
    <w:rsid w:val="00E45F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2021</Words>
  <Characters>11520</Characters>
  <Application>Microsoft Office Word</Application>
  <DocSecurity>0</DocSecurity>
  <Lines>96</Lines>
  <Paragraphs>27</Paragraphs>
  <ScaleCrop>false</ScaleCrop>
  <Company>Microsoft</Company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2022-02-14T04:02:00Z</cp:lastPrinted>
  <dcterms:created xsi:type="dcterms:W3CDTF">2022-02-14T04:03:00Z</dcterms:created>
  <dcterms:modified xsi:type="dcterms:W3CDTF">2022-02-22T09:32:00Z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A0FC0D41140844CE9836DBBC8AFBF573</vt:lpwstr>
  </property>
</Properties>
</file>