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40" w:firstLineChars="100"/>
        <w:jc w:val="center"/>
        <w:rPr>
          <w:rFonts w:hint="eastAsia" w:ascii="方正小标宋简体" w:hAnsi="方正小标宋简体" w:eastAsia="方正小标宋简体" w:cs="方正小标宋简体"/>
          <w:bCs/>
          <w:color w:val="333333"/>
          <w:kern w:val="0"/>
          <w:sz w:val="44"/>
          <w:szCs w:val="44"/>
        </w:rPr>
      </w:pPr>
      <w:r>
        <w:rPr>
          <w:rFonts w:hint="eastAsia" w:ascii="方正小标宋简体" w:hAnsi="方正小标宋简体" w:eastAsia="方正小标宋简体" w:cs="方正小标宋简体"/>
          <w:bCs/>
          <w:color w:val="333333"/>
          <w:kern w:val="0"/>
          <w:sz w:val="44"/>
          <w:szCs w:val="44"/>
          <w:lang w:eastAsia="zh-CN"/>
        </w:rPr>
        <w:t>钢城医保局</w:t>
      </w:r>
      <w:r>
        <w:rPr>
          <w:rFonts w:hint="eastAsia" w:ascii="方正小标宋简体" w:hAnsi="方正小标宋简体" w:eastAsia="方正小标宋简体" w:cs="方正小标宋简体"/>
          <w:bCs/>
          <w:color w:val="333333"/>
          <w:kern w:val="0"/>
          <w:sz w:val="44"/>
          <w:szCs w:val="44"/>
        </w:rPr>
        <w:t>2021年度行政执法数据统计表</w:t>
      </w:r>
    </w:p>
    <w:p>
      <w:pPr>
        <w:spacing w:line="480" w:lineRule="exact"/>
        <w:ind w:firstLine="320" w:firstLineChars="100"/>
        <w:jc w:val="center"/>
        <w:rPr>
          <w:rFonts w:hint="eastAsia" w:ascii="方正小标宋简体" w:hAnsi="方正小标宋简体" w:eastAsia="方正小标宋简体" w:cs="方正小标宋简体"/>
          <w:bCs/>
          <w:color w:val="333333"/>
          <w:kern w:val="0"/>
          <w:sz w:val="32"/>
          <w:szCs w:val="32"/>
        </w:rPr>
      </w:pPr>
    </w:p>
    <w:p>
      <w:pPr>
        <w:spacing w:line="480" w:lineRule="exact"/>
        <w:jc w:val="center"/>
        <w:rPr>
          <w:rFonts w:hint="eastAsia" w:ascii="宋体" w:hAnsi="宋体"/>
          <w:b/>
          <w:color w:val="333333"/>
          <w:kern w:val="0"/>
          <w:sz w:val="32"/>
          <w:szCs w:val="32"/>
        </w:rPr>
      </w:pPr>
    </w:p>
    <w:p>
      <w:pPr>
        <w:spacing w:line="480" w:lineRule="exact"/>
        <w:jc w:val="center"/>
        <w:rPr>
          <w:rFonts w:hint="eastAsia" w:ascii="宋体" w:hAnsi="宋体" w:cs="文星标宋"/>
          <w:b/>
          <w:sz w:val="32"/>
          <w:szCs w:val="32"/>
        </w:rPr>
      </w:pPr>
      <w:r>
        <w:rPr>
          <w:rFonts w:hint="eastAsia" w:ascii="宋体" w:hAnsi="宋体"/>
          <w:b/>
          <w:color w:val="333333"/>
          <w:kern w:val="0"/>
          <w:sz w:val="32"/>
          <w:szCs w:val="32"/>
        </w:rPr>
        <w:t>1</w:t>
      </w:r>
      <w:r>
        <w:rPr>
          <w:rFonts w:hint="eastAsia" w:ascii="宋体" w:hAnsi="宋体"/>
          <w:b/>
          <w:color w:val="333333"/>
          <w:kern w:val="0"/>
          <w:sz w:val="32"/>
          <w:szCs w:val="32"/>
          <w:lang w:eastAsia="zh-CN"/>
        </w:rPr>
        <w:t>钢城医保局</w:t>
      </w:r>
      <w:r>
        <w:rPr>
          <w:rFonts w:hint="eastAsia" w:ascii="宋体" w:hAnsi="宋体"/>
          <w:b/>
          <w:color w:val="333333"/>
          <w:kern w:val="0"/>
          <w:sz w:val="32"/>
          <w:szCs w:val="32"/>
        </w:rPr>
        <w:t>2021年度</w:t>
      </w:r>
      <w:r>
        <w:rPr>
          <w:rFonts w:hint="eastAsia" w:ascii="宋体" w:hAnsi="宋体" w:cs="文星标宋"/>
          <w:b/>
          <w:sz w:val="32"/>
          <w:szCs w:val="32"/>
        </w:rPr>
        <w:t>行政许可情况统计表</w:t>
      </w:r>
    </w:p>
    <w:tbl>
      <w:tblPr>
        <w:tblStyle w:val="4"/>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334"/>
        <w:gridCol w:w="2334"/>
        <w:gridCol w:w="2336"/>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736" w:type="dxa"/>
            <w:vMerge w:val="restart"/>
            <w:noWrap w:val="0"/>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7004" w:type="dxa"/>
            <w:gridSpan w:val="3"/>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行政许可实施数量</w:t>
            </w:r>
          </w:p>
        </w:tc>
        <w:tc>
          <w:tcPr>
            <w:tcW w:w="2760" w:type="dxa"/>
            <w:vMerge w:val="restart"/>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736" w:type="dxa"/>
            <w:vMerge w:val="continue"/>
            <w:noWrap w:val="0"/>
            <w:vAlign w:val="center"/>
          </w:tcPr>
          <w:p>
            <w:pPr>
              <w:spacing w:line="480" w:lineRule="exact"/>
              <w:jc w:val="center"/>
              <w:rPr>
                <w:rFonts w:ascii="黑体" w:hAnsi="黑体" w:eastAsia="黑体" w:cs="黑体"/>
                <w:sz w:val="30"/>
                <w:szCs w:val="30"/>
              </w:rPr>
            </w:pPr>
          </w:p>
        </w:tc>
        <w:tc>
          <w:tcPr>
            <w:tcW w:w="2334" w:type="dxa"/>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受理数量</w:t>
            </w:r>
          </w:p>
        </w:tc>
        <w:tc>
          <w:tcPr>
            <w:tcW w:w="2334" w:type="dxa"/>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许可数量</w:t>
            </w:r>
          </w:p>
        </w:tc>
        <w:tc>
          <w:tcPr>
            <w:tcW w:w="2336" w:type="dxa"/>
            <w:noWrap w:val="0"/>
            <w:vAlign w:val="center"/>
          </w:tcPr>
          <w:p>
            <w:pPr>
              <w:spacing w:line="320" w:lineRule="exact"/>
              <w:jc w:val="center"/>
              <w:rPr>
                <w:rFonts w:ascii="黑体" w:hAnsi="黑体" w:eastAsia="黑体" w:cs="黑体"/>
                <w:sz w:val="32"/>
                <w:szCs w:val="32"/>
              </w:rPr>
            </w:pPr>
            <w:r>
              <w:rPr>
                <w:rFonts w:hint="eastAsia" w:ascii="黑体" w:hAnsi="黑体" w:eastAsia="黑体" w:cs="黑体"/>
                <w:sz w:val="32"/>
                <w:szCs w:val="32"/>
              </w:rPr>
              <w:t>不予许可数量</w:t>
            </w:r>
          </w:p>
        </w:tc>
        <w:tc>
          <w:tcPr>
            <w:tcW w:w="2760" w:type="dxa"/>
            <w:vMerge w:val="continue"/>
            <w:noWrap w:val="0"/>
            <w:vAlign w:val="center"/>
          </w:tcPr>
          <w:p>
            <w:pPr>
              <w:spacing w:line="320" w:lineRule="exact"/>
              <w:jc w:val="center"/>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736" w:type="dxa"/>
            <w:noWrap w:val="0"/>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钢城医保局</w:t>
            </w:r>
          </w:p>
        </w:tc>
        <w:tc>
          <w:tcPr>
            <w:tcW w:w="2334" w:type="dxa"/>
            <w:noWrap w:val="0"/>
            <w:vAlign w:val="top"/>
          </w:tcPr>
          <w:p>
            <w:pPr>
              <w:spacing w:line="480" w:lineRule="exact"/>
              <w:jc w:val="center"/>
              <w:rPr>
                <w:rFonts w:hint="eastAsia" w:ascii="黑体" w:hAnsi="黑体" w:eastAsia="黑体" w:cs="文星标宋"/>
                <w:sz w:val="32"/>
                <w:szCs w:val="32"/>
                <w:lang w:val="en-US" w:eastAsia="zh-CN"/>
              </w:rPr>
            </w:pPr>
            <w:r>
              <w:rPr>
                <w:rFonts w:hint="eastAsia" w:ascii="黑体" w:hAnsi="黑体" w:eastAsia="黑体" w:cs="文星标宋"/>
                <w:sz w:val="32"/>
                <w:szCs w:val="32"/>
                <w:lang w:val="en-US" w:eastAsia="zh-CN"/>
              </w:rPr>
              <w:t>0</w:t>
            </w:r>
          </w:p>
        </w:tc>
        <w:tc>
          <w:tcPr>
            <w:tcW w:w="2334" w:type="dxa"/>
            <w:noWrap w:val="0"/>
            <w:vAlign w:val="top"/>
          </w:tcPr>
          <w:p>
            <w:pPr>
              <w:spacing w:line="480" w:lineRule="exact"/>
              <w:jc w:val="center"/>
              <w:rPr>
                <w:rFonts w:hint="eastAsia" w:ascii="黑体" w:hAnsi="黑体" w:eastAsia="黑体" w:cs="文星标宋"/>
                <w:sz w:val="32"/>
                <w:szCs w:val="32"/>
                <w:lang w:val="en-US" w:eastAsia="zh-CN"/>
              </w:rPr>
            </w:pPr>
            <w:r>
              <w:rPr>
                <w:rFonts w:hint="eastAsia" w:ascii="黑体" w:hAnsi="黑体" w:eastAsia="黑体" w:cs="文星标宋"/>
                <w:sz w:val="32"/>
                <w:szCs w:val="32"/>
                <w:lang w:val="en-US" w:eastAsia="zh-CN"/>
              </w:rPr>
              <w:t>0</w:t>
            </w:r>
          </w:p>
        </w:tc>
        <w:tc>
          <w:tcPr>
            <w:tcW w:w="2336" w:type="dxa"/>
            <w:noWrap w:val="0"/>
            <w:vAlign w:val="top"/>
          </w:tcPr>
          <w:p>
            <w:pPr>
              <w:spacing w:line="480" w:lineRule="exact"/>
              <w:jc w:val="center"/>
              <w:rPr>
                <w:rFonts w:hint="eastAsia" w:ascii="黑体" w:hAnsi="黑体" w:eastAsia="黑体" w:cs="文星标宋"/>
                <w:sz w:val="32"/>
                <w:szCs w:val="32"/>
                <w:lang w:val="en-US" w:eastAsia="zh-CN"/>
              </w:rPr>
            </w:pPr>
            <w:r>
              <w:rPr>
                <w:rFonts w:hint="eastAsia" w:ascii="黑体" w:hAnsi="黑体" w:eastAsia="黑体" w:cs="文星标宋"/>
                <w:sz w:val="32"/>
                <w:szCs w:val="32"/>
                <w:lang w:val="en-US" w:eastAsia="zh-CN"/>
              </w:rPr>
              <w:t>0</w:t>
            </w:r>
          </w:p>
        </w:tc>
        <w:tc>
          <w:tcPr>
            <w:tcW w:w="2760" w:type="dxa"/>
            <w:noWrap w:val="0"/>
            <w:vAlign w:val="top"/>
          </w:tcPr>
          <w:p>
            <w:pPr>
              <w:spacing w:line="480" w:lineRule="exact"/>
              <w:jc w:val="center"/>
              <w:rPr>
                <w:rFonts w:hint="eastAsia" w:ascii="黑体" w:hAnsi="黑体" w:eastAsia="黑体" w:cs="文星标宋"/>
                <w:sz w:val="32"/>
                <w:szCs w:val="32"/>
                <w:lang w:val="en-US" w:eastAsia="zh-CN"/>
              </w:rPr>
            </w:pPr>
            <w:r>
              <w:rPr>
                <w:rFonts w:hint="eastAsia" w:ascii="黑体" w:hAnsi="黑体" w:eastAsia="黑体" w:cs="文星标宋"/>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736" w:type="dxa"/>
            <w:noWrap w:val="0"/>
            <w:vAlign w:val="center"/>
          </w:tcPr>
          <w:p>
            <w:pPr>
              <w:spacing w:line="480" w:lineRule="exact"/>
              <w:jc w:val="center"/>
              <w:rPr>
                <w:rFonts w:ascii="仿宋_GB2312" w:hAnsi="仿宋_GB2312" w:eastAsia="仿宋_GB2312" w:cs="仿宋_GB2312"/>
                <w:sz w:val="28"/>
                <w:szCs w:val="28"/>
              </w:rPr>
            </w:pPr>
          </w:p>
        </w:tc>
        <w:tc>
          <w:tcPr>
            <w:tcW w:w="2334" w:type="dxa"/>
            <w:noWrap w:val="0"/>
            <w:vAlign w:val="top"/>
          </w:tcPr>
          <w:p>
            <w:pPr>
              <w:spacing w:line="480" w:lineRule="exact"/>
              <w:jc w:val="center"/>
              <w:rPr>
                <w:rFonts w:ascii="文星标宋" w:hAnsi="文星标宋" w:eastAsia="文星标宋" w:cs="文星标宋"/>
                <w:sz w:val="44"/>
                <w:szCs w:val="44"/>
              </w:rPr>
            </w:pPr>
          </w:p>
        </w:tc>
        <w:tc>
          <w:tcPr>
            <w:tcW w:w="2334" w:type="dxa"/>
            <w:noWrap w:val="0"/>
            <w:vAlign w:val="top"/>
          </w:tcPr>
          <w:p>
            <w:pPr>
              <w:spacing w:line="480" w:lineRule="exact"/>
              <w:jc w:val="center"/>
              <w:rPr>
                <w:rFonts w:ascii="文星标宋" w:hAnsi="文星标宋" w:eastAsia="文星标宋" w:cs="文星标宋"/>
                <w:sz w:val="44"/>
                <w:szCs w:val="44"/>
              </w:rPr>
            </w:pPr>
          </w:p>
        </w:tc>
        <w:tc>
          <w:tcPr>
            <w:tcW w:w="2336" w:type="dxa"/>
            <w:noWrap w:val="0"/>
            <w:vAlign w:val="top"/>
          </w:tcPr>
          <w:p>
            <w:pPr>
              <w:spacing w:line="480" w:lineRule="exact"/>
              <w:jc w:val="center"/>
              <w:rPr>
                <w:rFonts w:ascii="文星标宋" w:hAnsi="文星标宋" w:eastAsia="文星标宋" w:cs="文星标宋"/>
                <w:sz w:val="44"/>
                <w:szCs w:val="44"/>
              </w:rPr>
            </w:pPr>
          </w:p>
        </w:tc>
        <w:tc>
          <w:tcPr>
            <w:tcW w:w="2760" w:type="dxa"/>
            <w:noWrap w:val="0"/>
            <w:vAlign w:val="top"/>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736" w:type="dxa"/>
            <w:noWrap w:val="0"/>
            <w:vAlign w:val="top"/>
          </w:tcPr>
          <w:p>
            <w:pPr>
              <w:spacing w:line="480" w:lineRule="exact"/>
              <w:jc w:val="center"/>
              <w:rPr>
                <w:rFonts w:ascii="仿宋_GB2312" w:hAnsi="仿宋_GB2312" w:eastAsia="仿宋_GB2312" w:cs="仿宋_GB2312"/>
                <w:sz w:val="28"/>
                <w:szCs w:val="28"/>
              </w:rPr>
            </w:pPr>
          </w:p>
        </w:tc>
        <w:tc>
          <w:tcPr>
            <w:tcW w:w="2334" w:type="dxa"/>
            <w:noWrap w:val="0"/>
            <w:vAlign w:val="top"/>
          </w:tcPr>
          <w:p>
            <w:pPr>
              <w:spacing w:line="480" w:lineRule="exact"/>
              <w:jc w:val="center"/>
              <w:rPr>
                <w:rFonts w:ascii="文星标宋" w:hAnsi="文星标宋" w:eastAsia="文星标宋" w:cs="文星标宋"/>
                <w:sz w:val="44"/>
                <w:szCs w:val="44"/>
              </w:rPr>
            </w:pPr>
          </w:p>
        </w:tc>
        <w:tc>
          <w:tcPr>
            <w:tcW w:w="2334" w:type="dxa"/>
            <w:noWrap w:val="0"/>
            <w:vAlign w:val="top"/>
          </w:tcPr>
          <w:p>
            <w:pPr>
              <w:spacing w:line="480" w:lineRule="exact"/>
              <w:jc w:val="center"/>
              <w:rPr>
                <w:rFonts w:ascii="文星标宋" w:hAnsi="文星标宋" w:eastAsia="文星标宋" w:cs="文星标宋"/>
                <w:sz w:val="44"/>
                <w:szCs w:val="44"/>
              </w:rPr>
            </w:pPr>
          </w:p>
        </w:tc>
        <w:tc>
          <w:tcPr>
            <w:tcW w:w="2336" w:type="dxa"/>
            <w:noWrap w:val="0"/>
            <w:vAlign w:val="top"/>
          </w:tcPr>
          <w:p>
            <w:pPr>
              <w:spacing w:line="480" w:lineRule="exact"/>
              <w:jc w:val="center"/>
              <w:rPr>
                <w:rFonts w:ascii="文星标宋" w:hAnsi="文星标宋" w:eastAsia="文星标宋" w:cs="文星标宋"/>
                <w:sz w:val="44"/>
                <w:szCs w:val="44"/>
              </w:rPr>
            </w:pPr>
          </w:p>
        </w:tc>
        <w:tc>
          <w:tcPr>
            <w:tcW w:w="2760" w:type="dxa"/>
            <w:noWrap w:val="0"/>
            <w:vAlign w:val="top"/>
          </w:tcPr>
          <w:p>
            <w:pPr>
              <w:spacing w:line="480" w:lineRule="exact"/>
              <w:jc w:val="center"/>
              <w:rPr>
                <w:rFonts w:ascii="文星标宋" w:hAnsi="文星标宋" w:eastAsia="文星标宋" w:cs="文星标宋"/>
                <w:sz w:val="44"/>
                <w:szCs w:val="44"/>
              </w:rPr>
            </w:pPr>
          </w:p>
        </w:tc>
      </w:tr>
    </w:tbl>
    <w:p>
      <w:pPr>
        <w:spacing w:line="320" w:lineRule="exact"/>
        <w:rPr>
          <w:rFonts w:ascii="仿宋_GB2312" w:hAnsi="仿宋_GB2312" w:eastAsia="仿宋_GB2312" w:cs="仿宋_GB2312"/>
          <w:szCs w:val="21"/>
        </w:rPr>
      </w:pPr>
      <w:r>
        <w:rPr>
          <w:rFonts w:hint="eastAsia" w:ascii="黑体" w:hAnsi="黑体" w:eastAsia="黑体" w:cs="黑体"/>
          <w:szCs w:val="21"/>
        </w:rPr>
        <w:t>填表说明</w:t>
      </w:r>
      <w:r>
        <w:rPr>
          <w:rFonts w:hint="eastAsia" w:ascii="黑体" w:hAnsi="黑体" w:eastAsia="黑体" w:cs="黑体"/>
          <w:sz w:val="22"/>
        </w:rPr>
        <w:t>：</w:t>
      </w:r>
      <w:r>
        <w:rPr>
          <w:rFonts w:hint="eastAsia" w:ascii="仿宋_GB2312" w:hAnsi="仿宋_GB2312" w:eastAsia="仿宋_GB2312" w:cs="仿宋_GB2312"/>
          <w:szCs w:val="21"/>
        </w:rPr>
        <w:t>1.统计范围为本年度1月1日至12月31日。</w:t>
      </w:r>
    </w:p>
    <w:p>
      <w:pPr>
        <w:spacing w:line="320" w:lineRule="exact"/>
        <w:ind w:left="1404" w:leftChars="504" w:hanging="346" w:hangingChars="165"/>
        <w:rPr>
          <w:rFonts w:ascii="仿宋_GB2312" w:hAnsi="仿宋_GB2312" w:eastAsia="仿宋_GB2312" w:cs="仿宋_GB2312"/>
          <w:szCs w:val="21"/>
        </w:rPr>
      </w:pPr>
      <w:r>
        <w:rPr>
          <w:rFonts w:hint="eastAsia" w:ascii="仿宋_GB2312" w:hAnsi="仿宋_GB2312" w:eastAsia="仿宋_GB2312" w:cs="仿宋_GB2312"/>
          <w:szCs w:val="21"/>
        </w:rPr>
        <w:t>2.受理数量、许可数量、不予许可数量、撤销许可数量是指行政许可机关作出受理决定、许可决定、不予许可决定以及撤销许可决定的数量。</w:t>
      </w:r>
    </w:p>
    <w:p>
      <w:pPr>
        <w:spacing w:line="320" w:lineRule="exact"/>
        <w:ind w:firstLine="1058" w:firstLineChars="504"/>
        <w:rPr>
          <w:rFonts w:ascii="仿宋_GB2312" w:hAnsi="仿宋_GB2312" w:eastAsia="仿宋_GB2312" w:cs="仿宋_GB2312"/>
          <w:sz w:val="24"/>
        </w:rPr>
      </w:pPr>
      <w:r>
        <w:rPr>
          <w:rFonts w:hint="eastAsia" w:ascii="仿宋_GB2312" w:hAnsi="仿宋_GB2312" w:eastAsia="仿宋_GB2312" w:cs="仿宋_GB2312"/>
          <w:szCs w:val="21"/>
        </w:rPr>
        <w:t>3.准予变更、延续和不予变更、延续的数量，分别计入“许可数量、不予许可数量”。</w:t>
      </w:r>
    </w:p>
    <w:p>
      <w:pPr>
        <w:widowControl/>
        <w:snapToGrid w:val="0"/>
        <w:ind w:firstLine="645"/>
        <w:rPr>
          <w:rFonts w:ascii="Times New Roman" w:hAnsi="Times New Roman"/>
          <w:color w:val="333333"/>
          <w:kern w:val="0"/>
          <w:szCs w:val="21"/>
        </w:rPr>
        <w:sectPr>
          <w:footerReference r:id="rId3" w:type="default"/>
          <w:pgSz w:w="16838" w:h="11906" w:orient="landscape"/>
          <w:pgMar w:top="1797" w:right="1440" w:bottom="1797" w:left="1440" w:header="851" w:footer="992" w:gutter="0"/>
          <w:cols w:space="720" w:num="1"/>
          <w:docGrid w:linePitch="312" w:charSpace="0"/>
        </w:sectPr>
      </w:pPr>
    </w:p>
    <w:p>
      <w:pPr>
        <w:spacing w:line="480" w:lineRule="exact"/>
        <w:jc w:val="center"/>
        <w:rPr>
          <w:rFonts w:ascii="宋体" w:hAnsi="宋体" w:cs="文星标宋"/>
          <w:b/>
          <w:sz w:val="32"/>
          <w:szCs w:val="32"/>
        </w:rPr>
      </w:pPr>
      <w:r>
        <w:rPr>
          <w:rFonts w:hint="eastAsia" w:ascii="宋体" w:hAnsi="宋体"/>
          <w:b/>
          <w:color w:val="333333"/>
          <w:kern w:val="0"/>
          <w:sz w:val="32"/>
          <w:szCs w:val="32"/>
        </w:rPr>
        <w:t>2.</w:t>
      </w:r>
      <w:r>
        <w:rPr>
          <w:rFonts w:hint="eastAsia" w:ascii="宋体" w:hAnsi="宋体"/>
          <w:b/>
          <w:color w:val="333333"/>
          <w:kern w:val="0"/>
          <w:sz w:val="32"/>
          <w:szCs w:val="32"/>
          <w:lang w:eastAsia="zh-CN"/>
        </w:rPr>
        <w:t>钢城医保局</w:t>
      </w:r>
      <w:r>
        <w:rPr>
          <w:rFonts w:hint="eastAsia" w:ascii="宋体" w:hAnsi="宋体"/>
          <w:b/>
          <w:color w:val="333333"/>
          <w:kern w:val="0"/>
          <w:sz w:val="32"/>
          <w:szCs w:val="32"/>
        </w:rPr>
        <w:t>2021年度</w:t>
      </w:r>
      <w:r>
        <w:rPr>
          <w:rFonts w:hint="eastAsia" w:ascii="宋体" w:hAnsi="宋体" w:cs="文星标宋"/>
          <w:b/>
          <w:sz w:val="32"/>
          <w:szCs w:val="32"/>
        </w:rPr>
        <w:t>行政处罚情况统计表</w:t>
      </w:r>
    </w:p>
    <w:tbl>
      <w:tblPr>
        <w:tblStyle w:val="4"/>
        <w:tblW w:w="13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556"/>
        <w:gridCol w:w="556"/>
        <w:gridCol w:w="556"/>
        <w:gridCol w:w="557"/>
        <w:gridCol w:w="557"/>
        <w:gridCol w:w="557"/>
        <w:gridCol w:w="557"/>
        <w:gridCol w:w="557"/>
        <w:gridCol w:w="557"/>
        <w:gridCol w:w="557"/>
        <w:gridCol w:w="655"/>
        <w:gridCol w:w="458"/>
        <w:gridCol w:w="557"/>
        <w:gridCol w:w="558"/>
        <w:gridCol w:w="558"/>
        <w:gridCol w:w="558"/>
        <w:gridCol w:w="558"/>
        <w:gridCol w:w="566"/>
        <w:gridCol w:w="566"/>
        <w:gridCol w:w="566"/>
        <w:gridCol w:w="566"/>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25" w:type="dxa"/>
            <w:vMerge w:val="restart"/>
            <w:noWrap w:val="0"/>
            <w:vAlign w:val="center"/>
          </w:tcPr>
          <w:p>
            <w:pPr>
              <w:spacing w:line="480" w:lineRule="exact"/>
              <w:jc w:val="center"/>
            </w:pPr>
            <w:r>
              <w:rPr>
                <w:rFonts w:hint="eastAsia" w:ascii="黑体" w:hAnsi="黑体" w:eastAsia="黑体" w:cs="黑体"/>
                <w:sz w:val="28"/>
                <w:szCs w:val="28"/>
              </w:rPr>
              <w:t>单位名称</w:t>
            </w:r>
          </w:p>
        </w:tc>
        <w:tc>
          <w:tcPr>
            <w:tcW w:w="8931" w:type="dxa"/>
            <w:gridSpan w:val="16"/>
            <w:noWrap w:val="0"/>
            <w:vAlign w:val="center"/>
          </w:tcPr>
          <w:p>
            <w:pPr>
              <w:spacing w:line="320" w:lineRule="exact"/>
              <w:jc w:val="center"/>
              <w:rPr>
                <w:rFonts w:hint="eastAsia" w:ascii="黑体" w:hAnsi="黑体" w:eastAsia="黑体" w:cs="黑体"/>
                <w:szCs w:val="21"/>
              </w:rPr>
            </w:pPr>
            <w:r>
              <w:rPr>
                <w:rFonts w:hint="eastAsia" w:ascii="黑体" w:hAnsi="黑体" w:eastAsia="黑体" w:cs="黑体"/>
                <w:szCs w:val="21"/>
              </w:rPr>
              <w:t>行政处罚实施数量</w:t>
            </w:r>
          </w:p>
        </w:tc>
        <w:tc>
          <w:tcPr>
            <w:tcW w:w="559" w:type="dxa"/>
            <w:vMerge w:val="restart"/>
            <w:noWrap w:val="0"/>
            <w:vAlign w:val="center"/>
          </w:tcPr>
          <w:p>
            <w:pPr>
              <w:spacing w:line="320" w:lineRule="exact"/>
              <w:jc w:val="center"/>
              <w:rPr>
                <w:rFonts w:hint="eastAsia" w:ascii="黑体" w:hAnsi="黑体" w:eastAsia="黑体" w:cs="黑体"/>
                <w:szCs w:val="21"/>
              </w:rPr>
            </w:pPr>
            <w:r>
              <w:rPr>
                <w:rFonts w:hint="eastAsia" w:ascii="黑体" w:hAnsi="黑体" w:eastAsia="黑体" w:cs="黑体"/>
                <w:szCs w:val="21"/>
              </w:rPr>
              <w:t>罚没金额(万元)</w:t>
            </w:r>
          </w:p>
        </w:tc>
        <w:tc>
          <w:tcPr>
            <w:tcW w:w="567" w:type="dxa"/>
            <w:gridSpan w:val="4"/>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被行政复议诉讼数量</w:t>
            </w:r>
          </w:p>
        </w:tc>
        <w:tc>
          <w:tcPr>
            <w:tcW w:w="559" w:type="dxa"/>
            <w:vMerge w:val="restart"/>
            <w:noWrap w:val="0"/>
            <w:vAlign w:val="center"/>
          </w:tcPr>
          <w:p>
            <w:pPr>
              <w:spacing w:line="320" w:lineRule="exact"/>
              <w:jc w:val="center"/>
              <w:rPr>
                <w:rFonts w:hint="eastAsia" w:ascii="黑体" w:hAnsi="黑体" w:eastAsia="黑体" w:cs="黑体"/>
                <w:szCs w:val="21"/>
              </w:rPr>
            </w:pPr>
            <w:r>
              <w:rPr>
                <w:rFonts w:hint="eastAsia" w:ascii="黑体" w:hAnsi="黑体" w:eastAsia="黑体" w:cs="黑体"/>
                <w:szCs w:val="21"/>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625" w:type="dxa"/>
            <w:vMerge w:val="continue"/>
            <w:noWrap w:val="0"/>
            <w:vAlign w:val="top"/>
          </w:tcPr>
          <w:p>
            <w:pPr>
              <w:spacing w:line="480" w:lineRule="exact"/>
              <w:jc w:val="center"/>
            </w:pPr>
          </w:p>
        </w:tc>
        <w:tc>
          <w:tcPr>
            <w:tcW w:w="558"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立案数量</w:t>
            </w:r>
          </w:p>
        </w:tc>
        <w:tc>
          <w:tcPr>
            <w:tcW w:w="558"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结案数量</w:t>
            </w:r>
          </w:p>
        </w:tc>
        <w:tc>
          <w:tcPr>
            <w:tcW w:w="558" w:type="dxa"/>
            <w:noWrap w:val="0"/>
            <w:vAlign w:val="center"/>
          </w:tcPr>
          <w:p>
            <w:pPr>
              <w:widowControl/>
              <w:jc w:val="center"/>
              <w:textAlignment w:val="center"/>
              <w:rPr>
                <w:rFonts w:hint="eastAsia" w:ascii="黑体" w:hAnsi="宋体" w:eastAsia="黑体" w:cs="黑体"/>
                <w:color w:val="000000"/>
                <w:kern w:val="0"/>
                <w:szCs w:val="21"/>
                <w:lang w:bidi="ar"/>
              </w:rPr>
            </w:pPr>
            <w:r>
              <w:rPr>
                <w:rFonts w:hint="eastAsia" w:ascii="黑体" w:hAnsi="宋体" w:eastAsia="黑体" w:cs="黑体"/>
                <w:color w:val="000000"/>
                <w:kern w:val="0"/>
                <w:szCs w:val="21"/>
                <w:lang w:bidi="ar"/>
              </w:rPr>
              <w:t>警</w:t>
            </w:r>
          </w:p>
          <w:p>
            <w:pPr>
              <w:widowControl/>
              <w:jc w:val="center"/>
              <w:textAlignment w:val="center"/>
              <w:rPr>
                <w:rFonts w:hint="eastAsia" w:ascii="黑体" w:hAnsi="宋体" w:eastAsia="黑体" w:cs="黑体"/>
                <w:color w:val="000000"/>
                <w:kern w:val="0"/>
                <w:szCs w:val="21"/>
                <w:lang w:bidi="ar"/>
              </w:rPr>
            </w:pPr>
          </w:p>
          <w:p>
            <w:pPr>
              <w:widowControl/>
              <w:jc w:val="center"/>
              <w:textAlignment w:val="center"/>
              <w:rPr>
                <w:rFonts w:hint="eastAsia" w:ascii="黑体" w:hAnsi="宋体" w:eastAsia="黑体" w:cs="黑体"/>
                <w:color w:val="000000"/>
                <w:kern w:val="0"/>
                <w:szCs w:val="21"/>
                <w:lang w:bidi="ar"/>
              </w:rPr>
            </w:pPr>
          </w:p>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告</w:t>
            </w:r>
          </w:p>
        </w:tc>
        <w:tc>
          <w:tcPr>
            <w:tcW w:w="558"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通报批评</w:t>
            </w:r>
          </w:p>
        </w:tc>
        <w:tc>
          <w:tcPr>
            <w:tcW w:w="558" w:type="dxa"/>
            <w:noWrap w:val="0"/>
            <w:vAlign w:val="center"/>
          </w:tcPr>
          <w:p>
            <w:pPr>
              <w:widowControl/>
              <w:jc w:val="center"/>
              <w:textAlignment w:val="center"/>
              <w:rPr>
                <w:rFonts w:hint="eastAsia" w:ascii="黑体" w:hAnsi="宋体" w:eastAsia="黑体" w:cs="黑体"/>
                <w:color w:val="000000"/>
                <w:kern w:val="0"/>
                <w:szCs w:val="21"/>
                <w:lang w:bidi="ar"/>
              </w:rPr>
            </w:pPr>
            <w:r>
              <w:rPr>
                <w:rFonts w:hint="eastAsia" w:ascii="黑体" w:hAnsi="宋体" w:eastAsia="黑体" w:cs="黑体"/>
                <w:color w:val="000000"/>
                <w:kern w:val="0"/>
                <w:szCs w:val="21"/>
                <w:lang w:bidi="ar"/>
              </w:rPr>
              <w:t>罚</w:t>
            </w:r>
          </w:p>
          <w:p>
            <w:pPr>
              <w:widowControl/>
              <w:jc w:val="center"/>
              <w:textAlignment w:val="center"/>
              <w:rPr>
                <w:rFonts w:hint="eastAsia" w:ascii="黑体" w:hAnsi="宋体" w:eastAsia="黑体" w:cs="黑体"/>
                <w:color w:val="000000"/>
                <w:kern w:val="0"/>
                <w:szCs w:val="21"/>
                <w:lang w:bidi="ar"/>
              </w:rPr>
            </w:pPr>
          </w:p>
          <w:p>
            <w:pPr>
              <w:widowControl/>
              <w:jc w:val="center"/>
              <w:textAlignment w:val="center"/>
              <w:rPr>
                <w:rFonts w:hint="eastAsia" w:ascii="黑体" w:hAnsi="宋体" w:eastAsia="黑体" w:cs="黑体"/>
                <w:color w:val="000000"/>
                <w:kern w:val="0"/>
                <w:szCs w:val="21"/>
                <w:lang w:bidi="ar"/>
              </w:rPr>
            </w:pPr>
          </w:p>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款</w:t>
            </w:r>
          </w:p>
        </w:tc>
        <w:tc>
          <w:tcPr>
            <w:tcW w:w="558"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没收违法所得</w:t>
            </w:r>
          </w:p>
        </w:tc>
        <w:tc>
          <w:tcPr>
            <w:tcW w:w="558"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没收非法财物</w:t>
            </w:r>
          </w:p>
        </w:tc>
        <w:tc>
          <w:tcPr>
            <w:tcW w:w="558"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暂扣许可证件</w:t>
            </w:r>
          </w:p>
        </w:tc>
        <w:tc>
          <w:tcPr>
            <w:tcW w:w="558"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降低资质等级</w:t>
            </w:r>
          </w:p>
        </w:tc>
        <w:tc>
          <w:tcPr>
            <w:tcW w:w="558"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吊销许可证件</w:t>
            </w:r>
          </w:p>
        </w:tc>
        <w:tc>
          <w:tcPr>
            <w:tcW w:w="657"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限制开展生产经营活动</w:t>
            </w:r>
          </w:p>
        </w:tc>
        <w:tc>
          <w:tcPr>
            <w:tcW w:w="459"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责令停产停业</w:t>
            </w:r>
          </w:p>
        </w:tc>
        <w:tc>
          <w:tcPr>
            <w:tcW w:w="558"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责令关闭</w:t>
            </w:r>
          </w:p>
        </w:tc>
        <w:tc>
          <w:tcPr>
            <w:tcW w:w="559"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限制从业</w:t>
            </w:r>
          </w:p>
        </w:tc>
        <w:tc>
          <w:tcPr>
            <w:tcW w:w="559"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行政拘留</w:t>
            </w:r>
          </w:p>
        </w:tc>
        <w:tc>
          <w:tcPr>
            <w:tcW w:w="559" w:type="dxa"/>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其他行政处罚</w:t>
            </w:r>
          </w:p>
        </w:tc>
        <w:tc>
          <w:tcPr>
            <w:tcW w:w="559" w:type="dxa"/>
            <w:vMerge w:val="continue"/>
            <w:noWrap w:val="0"/>
            <w:vAlign w:val="center"/>
          </w:tcPr>
          <w:p>
            <w:pPr>
              <w:spacing w:line="240" w:lineRule="exact"/>
              <w:jc w:val="center"/>
              <w:rPr>
                <w:rFonts w:hint="eastAsia" w:ascii="黑体" w:hAnsi="黑体" w:eastAsia="黑体" w:cs="黑体"/>
                <w:szCs w:val="21"/>
              </w:rPr>
            </w:pPr>
          </w:p>
        </w:tc>
        <w:tc>
          <w:tcPr>
            <w:tcW w:w="567" w:type="dxa"/>
            <w:noWrap w:val="0"/>
            <w:vAlign w:val="center"/>
          </w:tcPr>
          <w:p>
            <w:pPr>
              <w:widowControl/>
              <w:jc w:val="distribute"/>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被行政复议数量</w:t>
            </w:r>
          </w:p>
        </w:tc>
        <w:tc>
          <w:tcPr>
            <w:tcW w:w="567" w:type="dxa"/>
            <w:noWrap w:val="0"/>
            <w:vAlign w:val="center"/>
          </w:tcPr>
          <w:p>
            <w:pPr>
              <w:widowControl/>
              <w:jc w:val="distribute"/>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被行政复议纠错数量</w:t>
            </w:r>
          </w:p>
        </w:tc>
        <w:tc>
          <w:tcPr>
            <w:tcW w:w="567" w:type="dxa"/>
            <w:noWrap w:val="0"/>
            <w:vAlign w:val="center"/>
          </w:tcPr>
          <w:p>
            <w:pPr>
              <w:widowControl/>
              <w:jc w:val="distribute"/>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被行政诉讼数量</w:t>
            </w:r>
          </w:p>
        </w:tc>
        <w:tc>
          <w:tcPr>
            <w:tcW w:w="567" w:type="dxa"/>
            <w:noWrap w:val="0"/>
            <w:vAlign w:val="center"/>
          </w:tcPr>
          <w:p>
            <w:pPr>
              <w:widowControl/>
              <w:jc w:val="distribute"/>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行政诉讼败诉数量</w:t>
            </w:r>
          </w:p>
        </w:tc>
        <w:tc>
          <w:tcPr>
            <w:tcW w:w="559" w:type="dxa"/>
            <w:vMerge w:val="continue"/>
            <w:noWrap w:val="0"/>
            <w:vAlign w:val="top"/>
          </w:tcPr>
          <w:p>
            <w:pPr>
              <w:spacing w:line="240" w:lineRule="exact"/>
              <w:jc w:val="center"/>
              <w:rPr>
                <w:rFonts w:hint="eastAsia"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25" w:type="dxa"/>
            <w:noWrap w:val="0"/>
            <w:vAlign w:val="center"/>
          </w:tcPr>
          <w:p>
            <w:pPr>
              <w:spacing w:line="320" w:lineRule="exact"/>
              <w:jc w:val="center"/>
              <w:rPr>
                <w:rFonts w:hint="eastAsia" w:eastAsia="宋体"/>
                <w:lang w:eastAsia="zh-CN"/>
              </w:rPr>
            </w:pPr>
            <w:r>
              <w:rPr>
                <w:rFonts w:hint="eastAsia"/>
                <w:lang w:eastAsia="zh-CN"/>
              </w:rPr>
              <w:t>钢城医保局</w:t>
            </w:r>
          </w:p>
        </w:tc>
        <w:tc>
          <w:tcPr>
            <w:tcW w:w="558" w:type="dxa"/>
            <w:noWrap w:val="0"/>
            <w:vAlign w:val="center"/>
          </w:tcPr>
          <w:p>
            <w:pPr>
              <w:spacing w:line="24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558" w:type="dxa"/>
            <w:noWrap w:val="0"/>
            <w:vAlign w:val="center"/>
          </w:tcPr>
          <w:p>
            <w:pPr>
              <w:spacing w:line="24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558" w:type="dxa"/>
            <w:noWrap w:val="0"/>
            <w:vAlign w:val="center"/>
          </w:tcPr>
          <w:p>
            <w:pPr>
              <w:spacing w:line="24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558" w:type="dxa"/>
            <w:noWrap w:val="0"/>
            <w:vAlign w:val="center"/>
          </w:tcPr>
          <w:p>
            <w:pPr>
              <w:spacing w:line="24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558" w:type="dxa"/>
            <w:noWrap w:val="0"/>
            <w:vAlign w:val="center"/>
          </w:tcPr>
          <w:p>
            <w:pPr>
              <w:spacing w:line="2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558" w:type="dxa"/>
            <w:noWrap w:val="0"/>
            <w:vAlign w:val="center"/>
          </w:tcPr>
          <w:p>
            <w:pPr>
              <w:spacing w:line="24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558" w:type="dxa"/>
            <w:noWrap w:val="0"/>
            <w:vAlign w:val="center"/>
          </w:tcPr>
          <w:p>
            <w:pPr>
              <w:spacing w:line="24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558" w:type="dxa"/>
            <w:noWrap w:val="0"/>
            <w:vAlign w:val="center"/>
          </w:tcPr>
          <w:p>
            <w:pPr>
              <w:spacing w:line="24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558" w:type="dxa"/>
            <w:noWrap w:val="0"/>
            <w:vAlign w:val="center"/>
          </w:tcPr>
          <w:p>
            <w:pPr>
              <w:spacing w:line="24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558" w:type="dxa"/>
            <w:noWrap w:val="0"/>
            <w:vAlign w:val="center"/>
          </w:tcPr>
          <w:p>
            <w:pPr>
              <w:spacing w:line="24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657" w:type="dxa"/>
            <w:noWrap w:val="0"/>
            <w:vAlign w:val="center"/>
          </w:tcPr>
          <w:p>
            <w:pPr>
              <w:spacing w:line="24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459" w:type="dxa"/>
            <w:noWrap w:val="0"/>
            <w:vAlign w:val="center"/>
          </w:tcPr>
          <w:p>
            <w:pPr>
              <w:spacing w:line="24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558" w:type="dxa"/>
            <w:noWrap w:val="0"/>
            <w:vAlign w:val="center"/>
          </w:tcPr>
          <w:p>
            <w:pPr>
              <w:spacing w:line="24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559" w:type="dxa"/>
            <w:noWrap w:val="0"/>
            <w:vAlign w:val="center"/>
          </w:tcPr>
          <w:p>
            <w:pPr>
              <w:spacing w:line="24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559" w:type="dxa"/>
            <w:noWrap w:val="0"/>
            <w:vAlign w:val="center"/>
          </w:tcPr>
          <w:p>
            <w:pPr>
              <w:spacing w:line="24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559" w:type="dxa"/>
            <w:noWrap w:val="0"/>
            <w:vAlign w:val="top"/>
          </w:tcPr>
          <w:p>
            <w:pPr>
              <w:spacing w:line="300" w:lineRule="exact"/>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0</w:t>
            </w:r>
          </w:p>
        </w:tc>
        <w:tc>
          <w:tcPr>
            <w:tcW w:w="559" w:type="dxa"/>
            <w:noWrap w:val="0"/>
            <w:vAlign w:val="top"/>
          </w:tcPr>
          <w:p>
            <w:pPr>
              <w:spacing w:line="300" w:lineRule="exact"/>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0</w:t>
            </w:r>
          </w:p>
        </w:tc>
        <w:tc>
          <w:tcPr>
            <w:tcW w:w="567" w:type="dxa"/>
            <w:noWrap w:val="0"/>
            <w:vAlign w:val="top"/>
          </w:tcPr>
          <w:p>
            <w:pPr>
              <w:spacing w:line="300" w:lineRule="exact"/>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0</w:t>
            </w:r>
          </w:p>
        </w:tc>
        <w:tc>
          <w:tcPr>
            <w:tcW w:w="567" w:type="dxa"/>
            <w:noWrap w:val="0"/>
            <w:vAlign w:val="top"/>
          </w:tcPr>
          <w:p>
            <w:pPr>
              <w:spacing w:line="300" w:lineRule="exact"/>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0</w:t>
            </w:r>
          </w:p>
        </w:tc>
        <w:tc>
          <w:tcPr>
            <w:tcW w:w="567" w:type="dxa"/>
            <w:noWrap w:val="0"/>
            <w:vAlign w:val="top"/>
          </w:tcPr>
          <w:p>
            <w:pPr>
              <w:spacing w:line="300" w:lineRule="exact"/>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0</w:t>
            </w:r>
          </w:p>
        </w:tc>
        <w:tc>
          <w:tcPr>
            <w:tcW w:w="567" w:type="dxa"/>
            <w:noWrap w:val="0"/>
            <w:vAlign w:val="top"/>
          </w:tcPr>
          <w:p>
            <w:pPr>
              <w:spacing w:line="300" w:lineRule="exact"/>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0</w:t>
            </w:r>
          </w:p>
        </w:tc>
        <w:tc>
          <w:tcPr>
            <w:tcW w:w="559" w:type="dxa"/>
            <w:noWrap w:val="0"/>
            <w:vAlign w:val="top"/>
          </w:tcPr>
          <w:p>
            <w:pPr>
              <w:spacing w:line="300" w:lineRule="exact"/>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625" w:type="dxa"/>
            <w:noWrap w:val="0"/>
            <w:vAlign w:val="center"/>
          </w:tcPr>
          <w:p>
            <w:pPr>
              <w:spacing w:line="320" w:lineRule="exact"/>
              <w:jc w:val="center"/>
            </w:pPr>
          </w:p>
        </w:tc>
        <w:tc>
          <w:tcPr>
            <w:tcW w:w="558" w:type="dxa"/>
            <w:noWrap w:val="0"/>
            <w:vAlign w:val="center"/>
          </w:tcPr>
          <w:p>
            <w:pPr>
              <w:spacing w:line="480" w:lineRule="exact"/>
              <w:jc w:val="center"/>
              <w:rPr>
                <w:rFonts w:ascii="仿宋_GB2312" w:hAnsi="仿宋_GB2312" w:eastAsia="仿宋_GB2312" w:cs="仿宋_GB2312"/>
                <w:sz w:val="28"/>
                <w:szCs w:val="28"/>
              </w:rPr>
            </w:pPr>
          </w:p>
        </w:tc>
        <w:tc>
          <w:tcPr>
            <w:tcW w:w="558" w:type="dxa"/>
            <w:noWrap w:val="0"/>
            <w:vAlign w:val="center"/>
          </w:tcPr>
          <w:p>
            <w:pPr>
              <w:spacing w:line="480" w:lineRule="exact"/>
              <w:jc w:val="center"/>
              <w:rPr>
                <w:rFonts w:ascii="仿宋_GB2312" w:hAnsi="仿宋_GB2312" w:eastAsia="仿宋_GB2312" w:cs="仿宋_GB2312"/>
                <w:sz w:val="28"/>
                <w:szCs w:val="28"/>
              </w:rPr>
            </w:pPr>
          </w:p>
        </w:tc>
        <w:tc>
          <w:tcPr>
            <w:tcW w:w="558" w:type="dxa"/>
            <w:noWrap w:val="0"/>
            <w:vAlign w:val="center"/>
          </w:tcPr>
          <w:p>
            <w:pPr>
              <w:spacing w:line="480" w:lineRule="exact"/>
              <w:jc w:val="center"/>
              <w:rPr>
                <w:rFonts w:ascii="仿宋_GB2312" w:hAnsi="仿宋_GB2312" w:eastAsia="仿宋_GB2312" w:cs="仿宋_GB2312"/>
                <w:sz w:val="28"/>
                <w:szCs w:val="28"/>
              </w:rPr>
            </w:pPr>
          </w:p>
        </w:tc>
        <w:tc>
          <w:tcPr>
            <w:tcW w:w="558" w:type="dxa"/>
            <w:noWrap w:val="0"/>
            <w:vAlign w:val="center"/>
          </w:tcPr>
          <w:p>
            <w:pPr>
              <w:spacing w:line="480" w:lineRule="exact"/>
              <w:jc w:val="center"/>
              <w:rPr>
                <w:rFonts w:ascii="仿宋_GB2312" w:hAnsi="仿宋_GB2312" w:eastAsia="仿宋_GB2312" w:cs="仿宋_GB2312"/>
                <w:sz w:val="28"/>
                <w:szCs w:val="28"/>
              </w:rPr>
            </w:pPr>
          </w:p>
        </w:tc>
        <w:tc>
          <w:tcPr>
            <w:tcW w:w="558" w:type="dxa"/>
            <w:noWrap w:val="0"/>
            <w:vAlign w:val="top"/>
          </w:tcPr>
          <w:p>
            <w:pPr>
              <w:spacing w:line="300" w:lineRule="exact"/>
              <w:rPr>
                <w:rFonts w:ascii="文星标宋" w:hAnsi="文星标宋" w:eastAsia="文星标宋" w:cs="文星标宋"/>
                <w:sz w:val="44"/>
                <w:szCs w:val="44"/>
              </w:rPr>
            </w:pPr>
          </w:p>
        </w:tc>
        <w:tc>
          <w:tcPr>
            <w:tcW w:w="558" w:type="dxa"/>
            <w:noWrap w:val="0"/>
            <w:vAlign w:val="top"/>
          </w:tcPr>
          <w:p>
            <w:pPr>
              <w:spacing w:line="300" w:lineRule="exact"/>
              <w:rPr>
                <w:rFonts w:ascii="文星标宋" w:hAnsi="文星标宋" w:eastAsia="文星标宋" w:cs="文星标宋"/>
                <w:sz w:val="44"/>
                <w:szCs w:val="44"/>
              </w:rPr>
            </w:pPr>
          </w:p>
        </w:tc>
        <w:tc>
          <w:tcPr>
            <w:tcW w:w="558" w:type="dxa"/>
            <w:noWrap w:val="0"/>
            <w:vAlign w:val="top"/>
          </w:tcPr>
          <w:p>
            <w:pPr>
              <w:spacing w:line="300" w:lineRule="exact"/>
              <w:rPr>
                <w:rFonts w:ascii="文星标宋" w:hAnsi="文星标宋" w:eastAsia="文星标宋" w:cs="文星标宋"/>
                <w:sz w:val="44"/>
                <w:szCs w:val="44"/>
              </w:rPr>
            </w:pPr>
          </w:p>
        </w:tc>
        <w:tc>
          <w:tcPr>
            <w:tcW w:w="558" w:type="dxa"/>
            <w:noWrap w:val="0"/>
            <w:vAlign w:val="top"/>
          </w:tcPr>
          <w:p>
            <w:pPr>
              <w:spacing w:line="300" w:lineRule="exact"/>
              <w:rPr>
                <w:rFonts w:ascii="文星标宋" w:hAnsi="文星标宋" w:eastAsia="文星标宋" w:cs="文星标宋"/>
                <w:sz w:val="44"/>
                <w:szCs w:val="44"/>
              </w:rPr>
            </w:pPr>
          </w:p>
        </w:tc>
        <w:tc>
          <w:tcPr>
            <w:tcW w:w="558" w:type="dxa"/>
            <w:noWrap w:val="0"/>
            <w:vAlign w:val="top"/>
          </w:tcPr>
          <w:p>
            <w:pPr>
              <w:spacing w:line="300" w:lineRule="exact"/>
              <w:rPr>
                <w:rFonts w:ascii="文星标宋" w:hAnsi="文星标宋" w:eastAsia="文星标宋" w:cs="文星标宋"/>
                <w:sz w:val="44"/>
                <w:szCs w:val="44"/>
              </w:rPr>
            </w:pPr>
          </w:p>
        </w:tc>
        <w:tc>
          <w:tcPr>
            <w:tcW w:w="558" w:type="dxa"/>
            <w:noWrap w:val="0"/>
            <w:vAlign w:val="top"/>
          </w:tcPr>
          <w:p>
            <w:pPr>
              <w:spacing w:line="300" w:lineRule="exact"/>
              <w:rPr>
                <w:rFonts w:ascii="文星标宋" w:hAnsi="文星标宋" w:eastAsia="文星标宋" w:cs="文星标宋"/>
                <w:sz w:val="44"/>
                <w:szCs w:val="44"/>
              </w:rPr>
            </w:pPr>
          </w:p>
        </w:tc>
        <w:tc>
          <w:tcPr>
            <w:tcW w:w="657" w:type="dxa"/>
            <w:noWrap w:val="0"/>
            <w:vAlign w:val="top"/>
          </w:tcPr>
          <w:p>
            <w:pPr>
              <w:spacing w:line="300" w:lineRule="exact"/>
              <w:rPr>
                <w:rFonts w:ascii="文星标宋" w:hAnsi="文星标宋" w:eastAsia="文星标宋" w:cs="文星标宋"/>
                <w:sz w:val="44"/>
                <w:szCs w:val="44"/>
              </w:rPr>
            </w:pPr>
          </w:p>
        </w:tc>
        <w:tc>
          <w:tcPr>
            <w:tcW w:w="459" w:type="dxa"/>
            <w:noWrap w:val="0"/>
            <w:vAlign w:val="top"/>
          </w:tcPr>
          <w:p>
            <w:pPr>
              <w:spacing w:line="300" w:lineRule="exact"/>
              <w:rPr>
                <w:rFonts w:ascii="文星标宋" w:hAnsi="文星标宋" w:eastAsia="文星标宋" w:cs="文星标宋"/>
                <w:sz w:val="44"/>
                <w:szCs w:val="44"/>
              </w:rPr>
            </w:pPr>
          </w:p>
        </w:tc>
        <w:tc>
          <w:tcPr>
            <w:tcW w:w="558" w:type="dxa"/>
            <w:noWrap w:val="0"/>
            <w:vAlign w:val="top"/>
          </w:tcPr>
          <w:p>
            <w:pPr>
              <w:spacing w:line="300" w:lineRule="exact"/>
              <w:rPr>
                <w:rFonts w:ascii="文星标宋" w:hAnsi="文星标宋" w:eastAsia="文星标宋" w:cs="文星标宋"/>
                <w:sz w:val="44"/>
                <w:szCs w:val="44"/>
              </w:rPr>
            </w:pPr>
          </w:p>
        </w:tc>
        <w:tc>
          <w:tcPr>
            <w:tcW w:w="559" w:type="dxa"/>
            <w:noWrap w:val="0"/>
            <w:vAlign w:val="top"/>
          </w:tcPr>
          <w:p>
            <w:pPr>
              <w:spacing w:line="300" w:lineRule="exact"/>
              <w:rPr>
                <w:rFonts w:ascii="文星标宋" w:hAnsi="文星标宋" w:eastAsia="文星标宋" w:cs="文星标宋"/>
                <w:sz w:val="44"/>
                <w:szCs w:val="44"/>
              </w:rPr>
            </w:pPr>
          </w:p>
        </w:tc>
        <w:tc>
          <w:tcPr>
            <w:tcW w:w="559" w:type="dxa"/>
            <w:noWrap w:val="0"/>
            <w:vAlign w:val="top"/>
          </w:tcPr>
          <w:p>
            <w:pPr>
              <w:spacing w:line="300" w:lineRule="exact"/>
              <w:rPr>
                <w:rFonts w:ascii="文星标宋" w:hAnsi="文星标宋" w:eastAsia="文星标宋" w:cs="文星标宋"/>
                <w:sz w:val="44"/>
                <w:szCs w:val="44"/>
              </w:rPr>
            </w:pPr>
          </w:p>
        </w:tc>
        <w:tc>
          <w:tcPr>
            <w:tcW w:w="559" w:type="dxa"/>
            <w:noWrap w:val="0"/>
            <w:vAlign w:val="top"/>
          </w:tcPr>
          <w:p>
            <w:pPr>
              <w:spacing w:line="300" w:lineRule="exact"/>
              <w:rPr>
                <w:rFonts w:ascii="文星标宋" w:hAnsi="文星标宋" w:eastAsia="文星标宋" w:cs="文星标宋"/>
                <w:sz w:val="44"/>
                <w:szCs w:val="44"/>
              </w:rPr>
            </w:pPr>
          </w:p>
        </w:tc>
        <w:tc>
          <w:tcPr>
            <w:tcW w:w="559" w:type="dxa"/>
            <w:noWrap w:val="0"/>
            <w:vAlign w:val="top"/>
          </w:tcPr>
          <w:p>
            <w:pPr>
              <w:spacing w:line="300" w:lineRule="exact"/>
              <w:rPr>
                <w:rFonts w:ascii="文星标宋" w:hAnsi="文星标宋" w:eastAsia="文星标宋" w:cs="文星标宋"/>
                <w:sz w:val="44"/>
                <w:szCs w:val="44"/>
              </w:rPr>
            </w:pPr>
          </w:p>
        </w:tc>
        <w:tc>
          <w:tcPr>
            <w:tcW w:w="567" w:type="dxa"/>
            <w:noWrap w:val="0"/>
            <w:vAlign w:val="top"/>
          </w:tcPr>
          <w:p>
            <w:pPr>
              <w:spacing w:line="300" w:lineRule="exact"/>
              <w:rPr>
                <w:rFonts w:ascii="文星标宋" w:hAnsi="文星标宋" w:eastAsia="文星标宋" w:cs="文星标宋"/>
                <w:sz w:val="44"/>
                <w:szCs w:val="44"/>
              </w:rPr>
            </w:pPr>
          </w:p>
        </w:tc>
        <w:tc>
          <w:tcPr>
            <w:tcW w:w="567" w:type="dxa"/>
            <w:noWrap w:val="0"/>
            <w:vAlign w:val="top"/>
          </w:tcPr>
          <w:p>
            <w:pPr>
              <w:spacing w:line="300" w:lineRule="exact"/>
              <w:rPr>
                <w:rFonts w:ascii="文星标宋" w:hAnsi="文星标宋" w:eastAsia="文星标宋" w:cs="文星标宋"/>
                <w:sz w:val="44"/>
                <w:szCs w:val="44"/>
              </w:rPr>
            </w:pPr>
          </w:p>
        </w:tc>
        <w:tc>
          <w:tcPr>
            <w:tcW w:w="567" w:type="dxa"/>
            <w:noWrap w:val="0"/>
            <w:vAlign w:val="top"/>
          </w:tcPr>
          <w:p>
            <w:pPr>
              <w:spacing w:line="300" w:lineRule="exact"/>
              <w:rPr>
                <w:rFonts w:ascii="文星标宋" w:hAnsi="文星标宋" w:eastAsia="文星标宋" w:cs="文星标宋"/>
                <w:sz w:val="44"/>
                <w:szCs w:val="44"/>
              </w:rPr>
            </w:pPr>
          </w:p>
        </w:tc>
        <w:tc>
          <w:tcPr>
            <w:tcW w:w="567" w:type="dxa"/>
            <w:noWrap w:val="0"/>
            <w:vAlign w:val="top"/>
          </w:tcPr>
          <w:p>
            <w:pPr>
              <w:spacing w:line="300" w:lineRule="exact"/>
              <w:rPr>
                <w:rFonts w:ascii="文星标宋" w:hAnsi="文星标宋" w:eastAsia="文星标宋" w:cs="文星标宋"/>
                <w:sz w:val="44"/>
                <w:szCs w:val="44"/>
              </w:rPr>
            </w:pPr>
          </w:p>
        </w:tc>
        <w:tc>
          <w:tcPr>
            <w:tcW w:w="559" w:type="dxa"/>
            <w:noWrap w:val="0"/>
            <w:vAlign w:val="top"/>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25" w:type="dxa"/>
            <w:noWrap w:val="0"/>
            <w:vAlign w:val="top"/>
          </w:tcPr>
          <w:p>
            <w:pPr>
              <w:spacing w:line="480" w:lineRule="exact"/>
              <w:jc w:val="center"/>
            </w:pPr>
          </w:p>
        </w:tc>
        <w:tc>
          <w:tcPr>
            <w:tcW w:w="558" w:type="dxa"/>
            <w:noWrap w:val="0"/>
            <w:vAlign w:val="top"/>
          </w:tcPr>
          <w:p>
            <w:pPr>
              <w:spacing w:line="480" w:lineRule="exact"/>
              <w:jc w:val="center"/>
              <w:rPr>
                <w:rFonts w:ascii="黑体" w:hAnsi="黑体" w:eastAsia="黑体" w:cs="黑体"/>
                <w:sz w:val="28"/>
                <w:szCs w:val="28"/>
              </w:rPr>
            </w:pPr>
          </w:p>
        </w:tc>
        <w:tc>
          <w:tcPr>
            <w:tcW w:w="558" w:type="dxa"/>
            <w:noWrap w:val="0"/>
            <w:vAlign w:val="top"/>
          </w:tcPr>
          <w:p>
            <w:pPr>
              <w:spacing w:line="480" w:lineRule="exact"/>
              <w:jc w:val="center"/>
              <w:rPr>
                <w:rFonts w:ascii="黑体" w:hAnsi="黑体" w:eastAsia="黑体" w:cs="黑体"/>
                <w:sz w:val="28"/>
                <w:szCs w:val="28"/>
              </w:rPr>
            </w:pPr>
          </w:p>
        </w:tc>
        <w:tc>
          <w:tcPr>
            <w:tcW w:w="558" w:type="dxa"/>
            <w:noWrap w:val="0"/>
            <w:vAlign w:val="top"/>
          </w:tcPr>
          <w:p>
            <w:pPr>
              <w:spacing w:line="480" w:lineRule="exact"/>
              <w:jc w:val="center"/>
              <w:rPr>
                <w:rFonts w:ascii="黑体" w:hAnsi="黑体" w:eastAsia="黑体" w:cs="黑体"/>
                <w:sz w:val="28"/>
                <w:szCs w:val="28"/>
              </w:rPr>
            </w:pPr>
          </w:p>
        </w:tc>
        <w:tc>
          <w:tcPr>
            <w:tcW w:w="558" w:type="dxa"/>
            <w:noWrap w:val="0"/>
            <w:vAlign w:val="top"/>
          </w:tcPr>
          <w:p>
            <w:pPr>
              <w:spacing w:line="480" w:lineRule="exact"/>
              <w:jc w:val="center"/>
              <w:rPr>
                <w:rFonts w:ascii="黑体" w:hAnsi="黑体" w:eastAsia="黑体" w:cs="黑体"/>
                <w:sz w:val="28"/>
                <w:szCs w:val="28"/>
              </w:rPr>
            </w:pPr>
          </w:p>
        </w:tc>
        <w:tc>
          <w:tcPr>
            <w:tcW w:w="558" w:type="dxa"/>
            <w:noWrap w:val="0"/>
            <w:vAlign w:val="top"/>
          </w:tcPr>
          <w:p>
            <w:pPr>
              <w:spacing w:line="480" w:lineRule="exact"/>
              <w:rPr>
                <w:rFonts w:ascii="文星标宋" w:hAnsi="文星标宋" w:eastAsia="文星标宋" w:cs="文星标宋"/>
                <w:sz w:val="44"/>
                <w:szCs w:val="44"/>
              </w:rPr>
            </w:pPr>
          </w:p>
        </w:tc>
        <w:tc>
          <w:tcPr>
            <w:tcW w:w="558" w:type="dxa"/>
            <w:noWrap w:val="0"/>
            <w:vAlign w:val="top"/>
          </w:tcPr>
          <w:p>
            <w:pPr>
              <w:spacing w:line="480" w:lineRule="exact"/>
              <w:rPr>
                <w:rFonts w:ascii="文星标宋" w:hAnsi="文星标宋" w:eastAsia="文星标宋" w:cs="文星标宋"/>
                <w:sz w:val="44"/>
                <w:szCs w:val="44"/>
              </w:rPr>
            </w:pPr>
          </w:p>
        </w:tc>
        <w:tc>
          <w:tcPr>
            <w:tcW w:w="558" w:type="dxa"/>
            <w:noWrap w:val="0"/>
            <w:vAlign w:val="top"/>
          </w:tcPr>
          <w:p>
            <w:pPr>
              <w:spacing w:line="480" w:lineRule="exact"/>
              <w:rPr>
                <w:rFonts w:ascii="文星标宋" w:hAnsi="文星标宋" w:eastAsia="文星标宋" w:cs="文星标宋"/>
                <w:sz w:val="44"/>
                <w:szCs w:val="44"/>
              </w:rPr>
            </w:pPr>
          </w:p>
        </w:tc>
        <w:tc>
          <w:tcPr>
            <w:tcW w:w="558" w:type="dxa"/>
            <w:noWrap w:val="0"/>
            <w:vAlign w:val="top"/>
          </w:tcPr>
          <w:p>
            <w:pPr>
              <w:spacing w:line="480" w:lineRule="exact"/>
              <w:rPr>
                <w:rFonts w:ascii="文星标宋" w:hAnsi="文星标宋" w:eastAsia="文星标宋" w:cs="文星标宋"/>
                <w:sz w:val="44"/>
                <w:szCs w:val="44"/>
              </w:rPr>
            </w:pPr>
          </w:p>
        </w:tc>
        <w:tc>
          <w:tcPr>
            <w:tcW w:w="558" w:type="dxa"/>
            <w:noWrap w:val="0"/>
            <w:vAlign w:val="top"/>
          </w:tcPr>
          <w:p>
            <w:pPr>
              <w:spacing w:line="480" w:lineRule="exact"/>
              <w:rPr>
                <w:rFonts w:ascii="文星标宋" w:hAnsi="文星标宋" w:eastAsia="文星标宋" w:cs="文星标宋"/>
                <w:sz w:val="44"/>
                <w:szCs w:val="44"/>
              </w:rPr>
            </w:pPr>
          </w:p>
        </w:tc>
        <w:tc>
          <w:tcPr>
            <w:tcW w:w="558" w:type="dxa"/>
            <w:noWrap w:val="0"/>
            <w:vAlign w:val="top"/>
          </w:tcPr>
          <w:p>
            <w:pPr>
              <w:spacing w:line="480" w:lineRule="exact"/>
              <w:rPr>
                <w:rFonts w:ascii="文星标宋" w:hAnsi="文星标宋" w:eastAsia="文星标宋" w:cs="文星标宋"/>
                <w:sz w:val="44"/>
                <w:szCs w:val="44"/>
              </w:rPr>
            </w:pPr>
          </w:p>
        </w:tc>
        <w:tc>
          <w:tcPr>
            <w:tcW w:w="657" w:type="dxa"/>
            <w:noWrap w:val="0"/>
            <w:vAlign w:val="top"/>
          </w:tcPr>
          <w:p>
            <w:pPr>
              <w:spacing w:line="480" w:lineRule="exact"/>
              <w:rPr>
                <w:rFonts w:ascii="文星标宋" w:hAnsi="文星标宋" w:eastAsia="文星标宋" w:cs="文星标宋"/>
                <w:sz w:val="44"/>
                <w:szCs w:val="44"/>
              </w:rPr>
            </w:pPr>
          </w:p>
        </w:tc>
        <w:tc>
          <w:tcPr>
            <w:tcW w:w="459" w:type="dxa"/>
            <w:noWrap w:val="0"/>
            <w:vAlign w:val="top"/>
          </w:tcPr>
          <w:p>
            <w:pPr>
              <w:spacing w:line="480" w:lineRule="exact"/>
              <w:rPr>
                <w:rFonts w:ascii="文星标宋" w:hAnsi="文星标宋" w:eastAsia="文星标宋" w:cs="文星标宋"/>
                <w:sz w:val="44"/>
                <w:szCs w:val="44"/>
              </w:rPr>
            </w:pPr>
          </w:p>
        </w:tc>
        <w:tc>
          <w:tcPr>
            <w:tcW w:w="558" w:type="dxa"/>
            <w:noWrap w:val="0"/>
            <w:vAlign w:val="top"/>
          </w:tcPr>
          <w:p>
            <w:pPr>
              <w:spacing w:line="480" w:lineRule="exact"/>
              <w:rPr>
                <w:rFonts w:ascii="文星标宋" w:hAnsi="文星标宋" w:eastAsia="文星标宋" w:cs="文星标宋"/>
                <w:sz w:val="44"/>
                <w:szCs w:val="44"/>
              </w:rPr>
            </w:pPr>
          </w:p>
        </w:tc>
        <w:tc>
          <w:tcPr>
            <w:tcW w:w="559" w:type="dxa"/>
            <w:noWrap w:val="0"/>
            <w:vAlign w:val="top"/>
          </w:tcPr>
          <w:p>
            <w:pPr>
              <w:spacing w:line="480" w:lineRule="exact"/>
              <w:rPr>
                <w:rFonts w:ascii="文星标宋" w:hAnsi="文星标宋" w:eastAsia="文星标宋" w:cs="文星标宋"/>
                <w:sz w:val="44"/>
                <w:szCs w:val="44"/>
              </w:rPr>
            </w:pPr>
          </w:p>
        </w:tc>
        <w:tc>
          <w:tcPr>
            <w:tcW w:w="559" w:type="dxa"/>
            <w:noWrap w:val="0"/>
            <w:vAlign w:val="top"/>
          </w:tcPr>
          <w:p>
            <w:pPr>
              <w:spacing w:line="480" w:lineRule="exact"/>
              <w:rPr>
                <w:rFonts w:ascii="文星标宋" w:hAnsi="文星标宋" w:eastAsia="文星标宋" w:cs="文星标宋"/>
                <w:sz w:val="44"/>
                <w:szCs w:val="44"/>
              </w:rPr>
            </w:pPr>
          </w:p>
        </w:tc>
        <w:tc>
          <w:tcPr>
            <w:tcW w:w="559" w:type="dxa"/>
            <w:noWrap w:val="0"/>
            <w:vAlign w:val="top"/>
          </w:tcPr>
          <w:p>
            <w:pPr>
              <w:spacing w:line="480" w:lineRule="exact"/>
              <w:rPr>
                <w:rFonts w:ascii="文星标宋" w:hAnsi="文星标宋" w:eastAsia="文星标宋" w:cs="文星标宋"/>
                <w:sz w:val="44"/>
                <w:szCs w:val="44"/>
              </w:rPr>
            </w:pPr>
          </w:p>
        </w:tc>
        <w:tc>
          <w:tcPr>
            <w:tcW w:w="559" w:type="dxa"/>
            <w:noWrap w:val="0"/>
            <w:vAlign w:val="top"/>
          </w:tcPr>
          <w:p>
            <w:pPr>
              <w:spacing w:line="480" w:lineRule="exact"/>
              <w:rPr>
                <w:rFonts w:ascii="文星标宋" w:hAnsi="文星标宋" w:eastAsia="文星标宋" w:cs="文星标宋"/>
                <w:sz w:val="44"/>
                <w:szCs w:val="44"/>
              </w:rPr>
            </w:pPr>
          </w:p>
        </w:tc>
        <w:tc>
          <w:tcPr>
            <w:tcW w:w="567" w:type="dxa"/>
            <w:noWrap w:val="0"/>
            <w:vAlign w:val="top"/>
          </w:tcPr>
          <w:p>
            <w:pPr>
              <w:spacing w:line="480" w:lineRule="exact"/>
              <w:rPr>
                <w:rFonts w:ascii="文星标宋" w:hAnsi="文星标宋" w:eastAsia="文星标宋" w:cs="文星标宋"/>
                <w:sz w:val="44"/>
                <w:szCs w:val="44"/>
              </w:rPr>
            </w:pPr>
          </w:p>
        </w:tc>
        <w:tc>
          <w:tcPr>
            <w:tcW w:w="567" w:type="dxa"/>
            <w:noWrap w:val="0"/>
            <w:vAlign w:val="top"/>
          </w:tcPr>
          <w:p>
            <w:pPr>
              <w:spacing w:line="480" w:lineRule="exact"/>
              <w:rPr>
                <w:rFonts w:ascii="文星标宋" w:hAnsi="文星标宋" w:eastAsia="文星标宋" w:cs="文星标宋"/>
                <w:sz w:val="44"/>
                <w:szCs w:val="44"/>
              </w:rPr>
            </w:pPr>
          </w:p>
        </w:tc>
        <w:tc>
          <w:tcPr>
            <w:tcW w:w="567" w:type="dxa"/>
            <w:noWrap w:val="0"/>
            <w:vAlign w:val="top"/>
          </w:tcPr>
          <w:p>
            <w:pPr>
              <w:spacing w:line="480" w:lineRule="exact"/>
              <w:rPr>
                <w:rFonts w:ascii="文星标宋" w:hAnsi="文星标宋" w:eastAsia="文星标宋" w:cs="文星标宋"/>
                <w:sz w:val="44"/>
                <w:szCs w:val="44"/>
              </w:rPr>
            </w:pPr>
          </w:p>
        </w:tc>
        <w:tc>
          <w:tcPr>
            <w:tcW w:w="567" w:type="dxa"/>
            <w:noWrap w:val="0"/>
            <w:vAlign w:val="top"/>
          </w:tcPr>
          <w:p>
            <w:pPr>
              <w:spacing w:line="480" w:lineRule="exact"/>
              <w:rPr>
                <w:rFonts w:ascii="文星标宋" w:hAnsi="文星标宋" w:eastAsia="文星标宋" w:cs="文星标宋"/>
                <w:sz w:val="44"/>
                <w:szCs w:val="44"/>
              </w:rPr>
            </w:pPr>
          </w:p>
        </w:tc>
        <w:tc>
          <w:tcPr>
            <w:tcW w:w="559" w:type="dxa"/>
            <w:noWrap w:val="0"/>
            <w:vAlign w:val="top"/>
          </w:tcPr>
          <w:p>
            <w:pPr>
              <w:spacing w:line="480" w:lineRule="exact"/>
              <w:rPr>
                <w:rFonts w:ascii="文星标宋" w:hAnsi="文星标宋" w:eastAsia="文星标宋" w:cs="文星标宋"/>
                <w:sz w:val="44"/>
                <w:szCs w:val="44"/>
              </w:rPr>
            </w:pPr>
          </w:p>
        </w:tc>
      </w:tr>
    </w:tbl>
    <w:p>
      <w:pPr>
        <w:spacing w:line="260" w:lineRule="exact"/>
        <w:ind w:left="1050" w:hanging="1050" w:hangingChars="500"/>
        <w:jc w:val="left"/>
        <w:rPr>
          <w:rFonts w:hint="eastAsia"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仿宋_GB2312" w:eastAsia="仿宋_GB2312" w:cs="仿宋_GB2312"/>
          <w:szCs w:val="21"/>
        </w:rPr>
        <w:t>1.统计范围为本年度1月1日至12月31日。</w:t>
      </w:r>
    </w:p>
    <w:p>
      <w:pPr>
        <w:spacing w:line="260" w:lineRule="exact"/>
        <w:ind w:firstLine="1050" w:firstLineChars="500"/>
        <w:jc w:val="left"/>
        <w:rPr>
          <w:rFonts w:hint="eastAsia" w:ascii="仿宋_GB2312" w:hAnsi="仿宋_GB2312" w:eastAsia="仿宋_GB2312" w:cs="仿宋_GB2312"/>
          <w:szCs w:val="21"/>
        </w:rPr>
      </w:pPr>
      <w:r>
        <w:rPr>
          <w:rFonts w:hint="eastAsia" w:ascii="仿宋_GB2312" w:hAnsi="仿宋_GB2312" w:eastAsia="仿宋_GB2312" w:cs="仿宋_GB2312"/>
          <w:szCs w:val="21"/>
        </w:rPr>
        <w:t>2.行政处罚结案数量包括经行政复议或者行政诉讼被撤销的行政处罚决定数量。</w:t>
      </w:r>
    </w:p>
    <w:p>
      <w:pPr>
        <w:spacing w:line="260" w:lineRule="exact"/>
        <w:ind w:left="1260" w:leftChars="500" w:hanging="210" w:hangingChars="100"/>
        <w:jc w:val="left"/>
        <w:rPr>
          <w:rFonts w:hint="eastAsia" w:ascii="仿宋_GB2312" w:hAnsi="仿宋_GB2312" w:eastAsia="仿宋_GB2312" w:cs="仿宋_GB2312"/>
          <w:szCs w:val="21"/>
        </w:rPr>
      </w:pPr>
      <w:r>
        <w:rPr>
          <w:rFonts w:hint="eastAsia" w:ascii="仿宋_GB2312" w:hAnsi="仿宋_GB2312" w:eastAsia="仿宋_GB2312" w:cs="仿宋_GB2312"/>
          <w:szCs w:val="21"/>
        </w:rPr>
        <w:t>3.单处一个类别行政处罚的，计入相应的行政处罚类别；并处两种以上行政处罚的，算一宗行政处罚，计入最重的行政处罚类别。如“没收违法所得，并处罚款”，计入“没收违法所得”类别；并处明确类别的行政处罚和其他行政处罚的，计入明确类别的行政处罚，如“处罚款，并处其他行政处罚”，计入“罚款”类别。行政处罚类别从轻到重的顺序：（1）警告（2）通报批评（3）罚款（4）没收违法所得（5））没收非法财物（6）暂扣许可证件（7）降低资质等级（8）吊销许可证件（9）限制开展生产经营活动（10）责令停产停业（11）责令关闭（12）限制从业（13）行政拘留。其他行政处罚为法律、行政法规规定的其他行政处罚，比如通报批评、驱逐出境等。</w:t>
      </w:r>
    </w:p>
    <w:p>
      <w:pPr>
        <w:spacing w:line="260" w:lineRule="exact"/>
        <w:ind w:firstLine="1050" w:firstLineChars="500"/>
        <w:jc w:val="left"/>
        <w:rPr>
          <w:rFonts w:hint="eastAsia" w:ascii="仿宋_GB2312" w:hAnsi="仿宋_GB2312" w:eastAsia="仿宋_GB2312" w:cs="仿宋_GB2312"/>
          <w:szCs w:val="21"/>
        </w:rPr>
      </w:pPr>
      <w:r>
        <w:rPr>
          <w:rFonts w:hint="eastAsia" w:ascii="仿宋_GB2312" w:hAnsi="仿宋_GB2312" w:eastAsia="仿宋_GB2312" w:cs="仿宋_GB2312"/>
          <w:szCs w:val="21"/>
        </w:rPr>
        <w:t>4.没收违法所得、没收非法财物能确定金额的，计入“罚没金额”；不能确定金额的，不计入“罚没金额”。</w:t>
      </w:r>
    </w:p>
    <w:p>
      <w:pPr>
        <w:spacing w:line="260" w:lineRule="exact"/>
        <w:ind w:firstLine="1050" w:firstLineChars="500"/>
        <w:jc w:val="left"/>
        <w:rPr>
          <w:rFonts w:hint="eastAsia" w:ascii="仿宋_GB2312" w:hAnsi="仿宋_GB2312" w:eastAsia="仿宋_GB2312" w:cs="仿宋_GB2312"/>
          <w:szCs w:val="21"/>
        </w:rPr>
      </w:pPr>
      <w:r>
        <w:rPr>
          <w:rFonts w:hint="eastAsia" w:ascii="仿宋_GB2312" w:hAnsi="仿宋_GB2312" w:eastAsia="仿宋_GB2312" w:cs="仿宋_GB2312"/>
          <w:szCs w:val="21"/>
        </w:rPr>
        <w:t>5.“罚没金额”以处罚决定书确定的金额为准。</w:t>
      </w:r>
    </w:p>
    <w:p>
      <w:pPr>
        <w:spacing w:line="260" w:lineRule="exact"/>
        <w:ind w:left="1050" w:hanging="1050" w:hangingChars="500"/>
        <w:jc w:val="left"/>
        <w:rPr>
          <w:rFonts w:ascii="Times New Roman" w:hAnsi="Times New Roman"/>
          <w:szCs w:val="21"/>
        </w:rPr>
        <w:sectPr>
          <w:pgSz w:w="16838" w:h="11906" w:orient="landscape"/>
          <w:pgMar w:top="1797" w:right="1440" w:bottom="1797" w:left="1440" w:header="851" w:footer="992" w:gutter="0"/>
          <w:cols w:space="720" w:num="1"/>
          <w:docGrid w:linePitch="312" w:charSpace="0"/>
        </w:sectPr>
      </w:pPr>
    </w:p>
    <w:p>
      <w:pPr>
        <w:spacing w:line="480" w:lineRule="exact"/>
        <w:jc w:val="center"/>
        <w:rPr>
          <w:rFonts w:ascii="宋体" w:hAnsi="宋体" w:cs="文星标宋"/>
          <w:b/>
          <w:sz w:val="32"/>
          <w:szCs w:val="32"/>
        </w:rPr>
      </w:pPr>
      <w:r>
        <w:rPr>
          <w:rFonts w:hint="eastAsia" w:ascii="宋体" w:hAnsi="宋体"/>
          <w:b/>
          <w:color w:val="333333"/>
          <w:kern w:val="0"/>
          <w:sz w:val="32"/>
          <w:szCs w:val="32"/>
        </w:rPr>
        <w:t>3.</w:t>
      </w:r>
      <w:r>
        <w:rPr>
          <w:rFonts w:hint="eastAsia" w:ascii="宋体" w:hAnsi="宋体"/>
          <w:b/>
          <w:color w:val="333333"/>
          <w:kern w:val="0"/>
          <w:sz w:val="32"/>
          <w:szCs w:val="32"/>
          <w:lang w:eastAsia="zh-CN"/>
        </w:rPr>
        <w:t>钢城医保局</w:t>
      </w:r>
      <w:r>
        <w:rPr>
          <w:rFonts w:hint="eastAsia" w:ascii="宋体" w:hAnsi="宋体"/>
          <w:b/>
          <w:color w:val="333333"/>
          <w:kern w:val="0"/>
          <w:sz w:val="32"/>
          <w:szCs w:val="32"/>
        </w:rPr>
        <w:t>2021年度</w:t>
      </w:r>
      <w:r>
        <w:rPr>
          <w:rFonts w:hint="eastAsia" w:ascii="宋体" w:hAnsi="宋体" w:cs="文星标宋"/>
          <w:b/>
          <w:sz w:val="32"/>
          <w:szCs w:val="32"/>
        </w:rPr>
        <w:t>行政强制情况统计表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noWrap w:val="0"/>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noWrap w:val="0"/>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noWrap w:val="0"/>
            <w:vAlign w:val="center"/>
          </w:tcPr>
          <w:p>
            <w:pPr>
              <w:spacing w:line="300" w:lineRule="exact"/>
              <w:jc w:val="center"/>
              <w:rPr>
                <w:rFonts w:ascii="黑体" w:hAnsi="黑体" w:eastAsia="黑体" w:cs="黑体"/>
                <w:sz w:val="28"/>
                <w:szCs w:val="28"/>
              </w:rPr>
            </w:pPr>
          </w:p>
        </w:tc>
        <w:tc>
          <w:tcPr>
            <w:tcW w:w="3854" w:type="dxa"/>
            <w:gridSpan w:val="5"/>
            <w:vMerge w:val="continue"/>
            <w:noWrap w:val="0"/>
            <w:vAlign w:val="center"/>
          </w:tcPr>
          <w:p>
            <w:pPr>
              <w:spacing w:line="320" w:lineRule="exact"/>
              <w:jc w:val="center"/>
              <w:rPr>
                <w:rFonts w:ascii="黑体" w:hAnsi="黑体" w:eastAsia="黑体" w:cs="黑体"/>
                <w:sz w:val="28"/>
                <w:szCs w:val="28"/>
              </w:rPr>
            </w:pPr>
          </w:p>
        </w:tc>
        <w:tc>
          <w:tcPr>
            <w:tcW w:w="5518" w:type="dxa"/>
            <w:gridSpan w:val="7"/>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noWrap w:val="0"/>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noWrap w:val="0"/>
            <w:vAlign w:val="top"/>
          </w:tcPr>
          <w:p>
            <w:pPr>
              <w:spacing w:line="480" w:lineRule="exact"/>
              <w:jc w:val="center"/>
            </w:pPr>
          </w:p>
        </w:tc>
        <w:tc>
          <w:tcPr>
            <w:tcW w:w="771" w:type="dxa"/>
            <w:noWrap w:val="0"/>
            <w:vAlign w:val="center"/>
          </w:tcPr>
          <w:p>
            <w:pPr>
              <w:spacing w:line="260" w:lineRule="exact"/>
              <w:jc w:val="center"/>
              <w:rPr>
                <w:sz w:val="20"/>
              </w:rPr>
            </w:pPr>
            <w:r>
              <w:rPr>
                <w:rFonts w:hint="eastAsia" w:ascii="黑体" w:hAnsi="黑体" w:eastAsia="黑体" w:cs="黑体"/>
                <w:sz w:val="20"/>
                <w:szCs w:val="20"/>
              </w:rPr>
              <w:t>查封场所、设施或者财物</w:t>
            </w:r>
          </w:p>
        </w:tc>
        <w:tc>
          <w:tcPr>
            <w:tcW w:w="771" w:type="dxa"/>
            <w:noWrap w:val="0"/>
            <w:vAlign w:val="center"/>
          </w:tcPr>
          <w:p>
            <w:pPr>
              <w:spacing w:line="260" w:lineRule="exact"/>
              <w:jc w:val="center"/>
              <w:rPr>
                <w:sz w:val="20"/>
              </w:rPr>
            </w:pPr>
            <w:r>
              <w:rPr>
                <w:rFonts w:hint="eastAsia" w:ascii="黑体" w:hAnsi="黑体" w:eastAsia="黑体" w:cs="黑体"/>
                <w:sz w:val="20"/>
                <w:szCs w:val="20"/>
              </w:rPr>
              <w:t>扣押财物</w:t>
            </w:r>
          </w:p>
        </w:tc>
        <w:tc>
          <w:tcPr>
            <w:tcW w:w="770" w:type="dxa"/>
            <w:noWrap w:val="0"/>
            <w:vAlign w:val="center"/>
          </w:tcPr>
          <w:p>
            <w:pPr>
              <w:spacing w:line="260" w:lineRule="exact"/>
              <w:jc w:val="center"/>
              <w:rPr>
                <w:sz w:val="20"/>
              </w:rPr>
            </w:pPr>
            <w:r>
              <w:rPr>
                <w:rFonts w:hint="eastAsia" w:ascii="黑体" w:hAnsi="黑体" w:eastAsia="黑体" w:cs="黑体"/>
                <w:sz w:val="20"/>
                <w:szCs w:val="20"/>
              </w:rPr>
              <w:t>冻结存款、汇款</w:t>
            </w:r>
          </w:p>
        </w:tc>
        <w:tc>
          <w:tcPr>
            <w:tcW w:w="771" w:type="dxa"/>
            <w:noWrap w:val="0"/>
            <w:vAlign w:val="center"/>
          </w:tcPr>
          <w:p>
            <w:pPr>
              <w:spacing w:line="260" w:lineRule="exact"/>
              <w:jc w:val="center"/>
              <w:rPr>
                <w:sz w:val="20"/>
              </w:rPr>
            </w:pPr>
            <w:r>
              <w:rPr>
                <w:rFonts w:hint="eastAsia" w:ascii="黑体" w:hAnsi="黑体" w:eastAsia="黑体" w:cs="黑体"/>
                <w:sz w:val="20"/>
                <w:szCs w:val="20"/>
              </w:rPr>
              <w:t>其他行政强制措施</w:t>
            </w:r>
          </w:p>
        </w:tc>
        <w:tc>
          <w:tcPr>
            <w:tcW w:w="771"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noWrap w:val="0"/>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noWrap w:val="0"/>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noWrap w:val="0"/>
            <w:vAlign w:val="center"/>
          </w:tcPr>
          <w:p>
            <w:pPr>
              <w:spacing w:line="480" w:lineRule="exact"/>
              <w:jc w:val="center"/>
            </w:pPr>
          </w:p>
        </w:tc>
        <w:tc>
          <w:tcPr>
            <w:tcW w:w="776" w:type="dxa"/>
            <w:vMerge w:val="continue"/>
            <w:noWrap w:val="0"/>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noWrap w:val="0"/>
            <w:vAlign w:val="center"/>
          </w:tcPr>
          <w:p>
            <w:pPr>
              <w:spacing w:line="320" w:lineRule="exact"/>
              <w:jc w:val="center"/>
              <w:rPr>
                <w:rFonts w:hint="eastAsia" w:eastAsia="宋体"/>
                <w:lang w:eastAsia="zh-CN"/>
              </w:rPr>
            </w:pPr>
            <w:r>
              <w:rPr>
                <w:rFonts w:hint="eastAsia"/>
                <w:lang w:eastAsia="zh-CN"/>
              </w:rPr>
              <w:t>钢城医保局</w:t>
            </w:r>
          </w:p>
        </w:tc>
        <w:tc>
          <w:tcPr>
            <w:tcW w:w="771" w:type="dxa"/>
            <w:noWrap w:val="0"/>
            <w:vAlign w:val="center"/>
          </w:tcPr>
          <w:p>
            <w:pPr>
              <w:spacing w:line="260" w:lineRule="exact"/>
              <w:jc w:val="center"/>
              <w:rPr>
                <w:rFonts w:hint="eastAsia" w:eastAsia="宋体"/>
                <w:sz w:val="20"/>
                <w:lang w:val="en-US" w:eastAsia="zh-CN"/>
              </w:rPr>
            </w:pPr>
            <w:r>
              <w:rPr>
                <w:rFonts w:hint="eastAsia"/>
                <w:sz w:val="20"/>
                <w:lang w:val="en-US" w:eastAsia="zh-CN"/>
              </w:rPr>
              <w:t>0</w:t>
            </w:r>
          </w:p>
        </w:tc>
        <w:tc>
          <w:tcPr>
            <w:tcW w:w="771" w:type="dxa"/>
            <w:noWrap w:val="0"/>
            <w:vAlign w:val="center"/>
          </w:tcPr>
          <w:p>
            <w:pPr>
              <w:spacing w:line="260" w:lineRule="exact"/>
              <w:jc w:val="center"/>
              <w:rPr>
                <w:rFonts w:hint="eastAsia" w:eastAsia="宋体"/>
                <w:sz w:val="20"/>
                <w:lang w:val="en-US" w:eastAsia="zh-CN"/>
              </w:rPr>
            </w:pPr>
            <w:r>
              <w:rPr>
                <w:rFonts w:hint="eastAsia"/>
                <w:sz w:val="20"/>
                <w:lang w:val="en-US" w:eastAsia="zh-CN"/>
              </w:rPr>
              <w:t>0</w:t>
            </w:r>
          </w:p>
        </w:tc>
        <w:tc>
          <w:tcPr>
            <w:tcW w:w="770" w:type="dxa"/>
            <w:noWrap w:val="0"/>
            <w:vAlign w:val="center"/>
          </w:tcPr>
          <w:p>
            <w:pPr>
              <w:spacing w:line="260" w:lineRule="exact"/>
              <w:jc w:val="center"/>
              <w:rPr>
                <w:rFonts w:hint="eastAsia" w:eastAsia="宋体"/>
                <w:sz w:val="20"/>
                <w:lang w:val="en-US" w:eastAsia="zh-CN"/>
              </w:rPr>
            </w:pPr>
            <w:r>
              <w:rPr>
                <w:rFonts w:hint="eastAsia"/>
                <w:sz w:val="20"/>
                <w:lang w:val="en-US" w:eastAsia="zh-CN"/>
              </w:rPr>
              <w:t>0</w:t>
            </w:r>
          </w:p>
        </w:tc>
        <w:tc>
          <w:tcPr>
            <w:tcW w:w="771" w:type="dxa"/>
            <w:noWrap w:val="0"/>
            <w:vAlign w:val="center"/>
          </w:tcPr>
          <w:p>
            <w:pPr>
              <w:spacing w:line="260" w:lineRule="exact"/>
              <w:jc w:val="center"/>
              <w:rPr>
                <w:rFonts w:hint="eastAsia" w:eastAsia="宋体"/>
                <w:sz w:val="20"/>
                <w:lang w:val="en-US" w:eastAsia="zh-CN"/>
              </w:rPr>
            </w:pPr>
            <w:r>
              <w:rPr>
                <w:rFonts w:hint="eastAsia"/>
                <w:sz w:val="20"/>
                <w:lang w:val="en-US" w:eastAsia="zh-CN"/>
              </w:rPr>
              <w:t>0</w:t>
            </w:r>
          </w:p>
        </w:tc>
        <w:tc>
          <w:tcPr>
            <w:tcW w:w="771" w:type="dxa"/>
            <w:noWrap w:val="0"/>
            <w:vAlign w:val="center"/>
          </w:tcPr>
          <w:p>
            <w:pPr>
              <w:spacing w:line="260" w:lineRule="exact"/>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0</w:t>
            </w:r>
          </w:p>
        </w:tc>
        <w:tc>
          <w:tcPr>
            <w:tcW w:w="802" w:type="dxa"/>
            <w:noWrap w:val="0"/>
            <w:vAlign w:val="center"/>
          </w:tcPr>
          <w:p>
            <w:pPr>
              <w:spacing w:line="260" w:lineRule="exact"/>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0</w:t>
            </w:r>
          </w:p>
        </w:tc>
        <w:tc>
          <w:tcPr>
            <w:tcW w:w="802" w:type="dxa"/>
            <w:noWrap w:val="0"/>
            <w:vAlign w:val="center"/>
          </w:tcPr>
          <w:p>
            <w:pPr>
              <w:spacing w:line="260" w:lineRule="exact"/>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0</w:t>
            </w:r>
          </w:p>
        </w:tc>
        <w:tc>
          <w:tcPr>
            <w:tcW w:w="802" w:type="dxa"/>
            <w:noWrap w:val="0"/>
            <w:vAlign w:val="center"/>
          </w:tcPr>
          <w:p>
            <w:pPr>
              <w:spacing w:line="220" w:lineRule="exact"/>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0</w:t>
            </w:r>
          </w:p>
        </w:tc>
        <w:tc>
          <w:tcPr>
            <w:tcW w:w="802" w:type="dxa"/>
            <w:noWrap w:val="0"/>
            <w:vAlign w:val="center"/>
          </w:tcPr>
          <w:p>
            <w:pPr>
              <w:spacing w:line="260" w:lineRule="exact"/>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0</w:t>
            </w:r>
          </w:p>
        </w:tc>
        <w:tc>
          <w:tcPr>
            <w:tcW w:w="802" w:type="dxa"/>
            <w:noWrap w:val="0"/>
            <w:vAlign w:val="center"/>
          </w:tcPr>
          <w:p>
            <w:pPr>
              <w:spacing w:line="260" w:lineRule="exact"/>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0</w:t>
            </w:r>
          </w:p>
        </w:tc>
        <w:tc>
          <w:tcPr>
            <w:tcW w:w="801" w:type="dxa"/>
            <w:noWrap w:val="0"/>
            <w:vAlign w:val="center"/>
          </w:tcPr>
          <w:p>
            <w:pPr>
              <w:spacing w:line="260" w:lineRule="exact"/>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0</w:t>
            </w:r>
          </w:p>
        </w:tc>
        <w:tc>
          <w:tcPr>
            <w:tcW w:w="707" w:type="dxa"/>
            <w:noWrap w:val="0"/>
            <w:vAlign w:val="center"/>
          </w:tcPr>
          <w:p>
            <w:pPr>
              <w:spacing w:line="260" w:lineRule="exact"/>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0</w:t>
            </w:r>
          </w:p>
        </w:tc>
        <w:tc>
          <w:tcPr>
            <w:tcW w:w="1451" w:type="dxa"/>
            <w:noWrap w:val="0"/>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6" w:type="dxa"/>
            <w:noWrap w:val="0"/>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noWrap w:val="0"/>
            <w:vAlign w:val="center"/>
          </w:tcPr>
          <w:p>
            <w:pPr>
              <w:spacing w:line="320" w:lineRule="exact"/>
              <w:jc w:val="center"/>
            </w:pPr>
          </w:p>
        </w:tc>
        <w:tc>
          <w:tcPr>
            <w:tcW w:w="771" w:type="dxa"/>
            <w:noWrap w:val="0"/>
            <w:vAlign w:val="center"/>
          </w:tcPr>
          <w:p>
            <w:pPr>
              <w:spacing w:line="480" w:lineRule="exact"/>
              <w:jc w:val="center"/>
            </w:pPr>
          </w:p>
        </w:tc>
        <w:tc>
          <w:tcPr>
            <w:tcW w:w="771" w:type="dxa"/>
            <w:noWrap w:val="0"/>
            <w:vAlign w:val="center"/>
          </w:tcPr>
          <w:p>
            <w:pPr>
              <w:spacing w:line="480" w:lineRule="exact"/>
              <w:jc w:val="center"/>
            </w:pPr>
          </w:p>
        </w:tc>
        <w:tc>
          <w:tcPr>
            <w:tcW w:w="770" w:type="dxa"/>
            <w:noWrap w:val="0"/>
            <w:vAlign w:val="center"/>
          </w:tcPr>
          <w:p>
            <w:pPr>
              <w:spacing w:line="480" w:lineRule="exact"/>
              <w:jc w:val="center"/>
            </w:pPr>
          </w:p>
        </w:tc>
        <w:tc>
          <w:tcPr>
            <w:tcW w:w="771" w:type="dxa"/>
            <w:noWrap w:val="0"/>
            <w:vAlign w:val="center"/>
          </w:tcPr>
          <w:p>
            <w:pPr>
              <w:spacing w:line="480" w:lineRule="exact"/>
              <w:jc w:val="center"/>
            </w:pPr>
          </w:p>
        </w:tc>
        <w:tc>
          <w:tcPr>
            <w:tcW w:w="771" w:type="dxa"/>
            <w:noWrap w:val="0"/>
            <w:vAlign w:val="center"/>
          </w:tcPr>
          <w:p>
            <w:pPr>
              <w:spacing w:line="480" w:lineRule="exact"/>
              <w:jc w:val="center"/>
            </w:pPr>
          </w:p>
        </w:tc>
        <w:tc>
          <w:tcPr>
            <w:tcW w:w="802" w:type="dxa"/>
            <w:noWrap w:val="0"/>
            <w:vAlign w:val="center"/>
          </w:tcPr>
          <w:p>
            <w:pPr>
              <w:spacing w:line="300" w:lineRule="exact"/>
              <w:jc w:val="center"/>
              <w:rPr>
                <w:rFonts w:ascii="黑体" w:hAnsi="黑体" w:eastAsia="黑体" w:cs="黑体"/>
                <w:szCs w:val="21"/>
              </w:rPr>
            </w:pPr>
          </w:p>
        </w:tc>
        <w:tc>
          <w:tcPr>
            <w:tcW w:w="802" w:type="dxa"/>
            <w:noWrap w:val="0"/>
            <w:vAlign w:val="center"/>
          </w:tcPr>
          <w:p>
            <w:pPr>
              <w:spacing w:line="300" w:lineRule="exact"/>
              <w:jc w:val="center"/>
              <w:rPr>
                <w:rFonts w:ascii="黑体" w:hAnsi="黑体" w:eastAsia="黑体" w:cs="黑体"/>
                <w:szCs w:val="21"/>
              </w:rPr>
            </w:pPr>
          </w:p>
        </w:tc>
        <w:tc>
          <w:tcPr>
            <w:tcW w:w="802" w:type="dxa"/>
            <w:noWrap w:val="0"/>
            <w:vAlign w:val="center"/>
          </w:tcPr>
          <w:p>
            <w:pPr>
              <w:spacing w:line="300" w:lineRule="exact"/>
              <w:jc w:val="center"/>
              <w:rPr>
                <w:rFonts w:ascii="黑体" w:hAnsi="黑体" w:eastAsia="黑体" w:cs="黑体"/>
                <w:szCs w:val="21"/>
              </w:rPr>
            </w:pPr>
          </w:p>
        </w:tc>
        <w:tc>
          <w:tcPr>
            <w:tcW w:w="802" w:type="dxa"/>
            <w:noWrap w:val="0"/>
            <w:vAlign w:val="center"/>
          </w:tcPr>
          <w:p>
            <w:pPr>
              <w:spacing w:line="300" w:lineRule="exact"/>
              <w:jc w:val="center"/>
              <w:rPr>
                <w:rFonts w:ascii="黑体" w:hAnsi="黑体" w:eastAsia="黑体" w:cs="黑体"/>
                <w:szCs w:val="21"/>
              </w:rPr>
            </w:pPr>
          </w:p>
        </w:tc>
        <w:tc>
          <w:tcPr>
            <w:tcW w:w="802" w:type="dxa"/>
            <w:noWrap w:val="0"/>
            <w:vAlign w:val="center"/>
          </w:tcPr>
          <w:p>
            <w:pPr>
              <w:spacing w:line="300" w:lineRule="exact"/>
              <w:jc w:val="center"/>
              <w:rPr>
                <w:rFonts w:ascii="黑体" w:hAnsi="黑体" w:eastAsia="黑体" w:cs="黑体"/>
                <w:szCs w:val="21"/>
              </w:rPr>
            </w:pPr>
          </w:p>
        </w:tc>
        <w:tc>
          <w:tcPr>
            <w:tcW w:w="801" w:type="dxa"/>
            <w:noWrap w:val="0"/>
            <w:vAlign w:val="center"/>
          </w:tcPr>
          <w:p>
            <w:pPr>
              <w:spacing w:line="300" w:lineRule="exact"/>
              <w:jc w:val="center"/>
              <w:rPr>
                <w:rFonts w:ascii="黑体" w:hAnsi="黑体" w:eastAsia="黑体" w:cs="黑体"/>
                <w:szCs w:val="21"/>
              </w:rPr>
            </w:pPr>
          </w:p>
        </w:tc>
        <w:tc>
          <w:tcPr>
            <w:tcW w:w="707" w:type="dxa"/>
            <w:noWrap w:val="0"/>
            <w:vAlign w:val="center"/>
          </w:tcPr>
          <w:p>
            <w:pPr>
              <w:spacing w:line="300" w:lineRule="exact"/>
              <w:jc w:val="center"/>
              <w:rPr>
                <w:rFonts w:ascii="黑体" w:hAnsi="黑体" w:eastAsia="黑体" w:cs="黑体"/>
                <w:szCs w:val="21"/>
              </w:rPr>
            </w:pPr>
          </w:p>
        </w:tc>
        <w:tc>
          <w:tcPr>
            <w:tcW w:w="1451" w:type="dxa"/>
            <w:noWrap w:val="0"/>
            <w:vAlign w:val="center"/>
          </w:tcPr>
          <w:p>
            <w:pPr>
              <w:spacing w:line="480" w:lineRule="exact"/>
              <w:jc w:val="center"/>
              <w:rPr>
                <w:rFonts w:ascii="黑体" w:hAnsi="黑体" w:eastAsia="黑体" w:cs="黑体"/>
                <w:sz w:val="28"/>
                <w:szCs w:val="28"/>
              </w:rPr>
            </w:pPr>
          </w:p>
        </w:tc>
        <w:tc>
          <w:tcPr>
            <w:tcW w:w="776" w:type="dxa"/>
            <w:noWrap w:val="0"/>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noWrap w:val="0"/>
            <w:vAlign w:val="center"/>
          </w:tcPr>
          <w:p>
            <w:pPr>
              <w:spacing w:line="480" w:lineRule="exact"/>
              <w:jc w:val="center"/>
              <w:rPr>
                <w:rFonts w:ascii="黑体" w:hAnsi="黑体" w:eastAsia="黑体" w:cs="黑体"/>
                <w:sz w:val="28"/>
                <w:szCs w:val="28"/>
              </w:rPr>
            </w:pPr>
          </w:p>
        </w:tc>
        <w:tc>
          <w:tcPr>
            <w:tcW w:w="771" w:type="dxa"/>
            <w:noWrap w:val="0"/>
            <w:vAlign w:val="top"/>
          </w:tcPr>
          <w:p>
            <w:pPr>
              <w:spacing w:line="480" w:lineRule="exact"/>
              <w:jc w:val="center"/>
            </w:pPr>
          </w:p>
        </w:tc>
        <w:tc>
          <w:tcPr>
            <w:tcW w:w="771" w:type="dxa"/>
            <w:noWrap w:val="0"/>
            <w:vAlign w:val="top"/>
          </w:tcPr>
          <w:p>
            <w:pPr>
              <w:spacing w:line="480" w:lineRule="exact"/>
              <w:jc w:val="center"/>
            </w:pPr>
          </w:p>
        </w:tc>
        <w:tc>
          <w:tcPr>
            <w:tcW w:w="770" w:type="dxa"/>
            <w:noWrap w:val="0"/>
            <w:vAlign w:val="top"/>
          </w:tcPr>
          <w:p>
            <w:pPr>
              <w:spacing w:line="480" w:lineRule="exact"/>
              <w:jc w:val="center"/>
            </w:pPr>
          </w:p>
        </w:tc>
        <w:tc>
          <w:tcPr>
            <w:tcW w:w="771" w:type="dxa"/>
            <w:noWrap w:val="0"/>
            <w:vAlign w:val="top"/>
          </w:tcPr>
          <w:p>
            <w:pPr>
              <w:spacing w:line="480" w:lineRule="exact"/>
              <w:jc w:val="center"/>
            </w:pPr>
          </w:p>
        </w:tc>
        <w:tc>
          <w:tcPr>
            <w:tcW w:w="771" w:type="dxa"/>
            <w:noWrap w:val="0"/>
            <w:vAlign w:val="top"/>
          </w:tcPr>
          <w:p>
            <w:pPr>
              <w:spacing w:line="480" w:lineRule="exact"/>
              <w:jc w:val="center"/>
            </w:pPr>
          </w:p>
        </w:tc>
        <w:tc>
          <w:tcPr>
            <w:tcW w:w="802" w:type="dxa"/>
            <w:noWrap w:val="0"/>
            <w:vAlign w:val="top"/>
          </w:tcPr>
          <w:p>
            <w:pPr>
              <w:spacing w:line="300" w:lineRule="exact"/>
              <w:jc w:val="center"/>
              <w:rPr>
                <w:rFonts w:ascii="黑体" w:hAnsi="黑体" w:eastAsia="黑体" w:cs="黑体"/>
                <w:szCs w:val="21"/>
              </w:rPr>
            </w:pPr>
          </w:p>
        </w:tc>
        <w:tc>
          <w:tcPr>
            <w:tcW w:w="802" w:type="dxa"/>
            <w:noWrap w:val="0"/>
            <w:vAlign w:val="top"/>
          </w:tcPr>
          <w:p>
            <w:pPr>
              <w:spacing w:line="300" w:lineRule="exact"/>
              <w:jc w:val="center"/>
              <w:rPr>
                <w:rFonts w:ascii="黑体" w:hAnsi="黑体" w:eastAsia="黑体" w:cs="黑体"/>
                <w:szCs w:val="21"/>
              </w:rPr>
            </w:pPr>
          </w:p>
        </w:tc>
        <w:tc>
          <w:tcPr>
            <w:tcW w:w="802" w:type="dxa"/>
            <w:noWrap w:val="0"/>
            <w:vAlign w:val="top"/>
          </w:tcPr>
          <w:p>
            <w:pPr>
              <w:spacing w:line="300" w:lineRule="exact"/>
              <w:jc w:val="center"/>
              <w:rPr>
                <w:rFonts w:ascii="黑体" w:hAnsi="黑体" w:eastAsia="黑体" w:cs="黑体"/>
                <w:szCs w:val="21"/>
              </w:rPr>
            </w:pPr>
          </w:p>
        </w:tc>
        <w:tc>
          <w:tcPr>
            <w:tcW w:w="802" w:type="dxa"/>
            <w:noWrap w:val="0"/>
            <w:vAlign w:val="top"/>
          </w:tcPr>
          <w:p>
            <w:pPr>
              <w:spacing w:line="300" w:lineRule="exact"/>
              <w:jc w:val="center"/>
              <w:rPr>
                <w:rFonts w:ascii="黑体" w:hAnsi="黑体" w:eastAsia="黑体" w:cs="黑体"/>
                <w:szCs w:val="21"/>
              </w:rPr>
            </w:pPr>
          </w:p>
        </w:tc>
        <w:tc>
          <w:tcPr>
            <w:tcW w:w="802" w:type="dxa"/>
            <w:noWrap w:val="0"/>
            <w:vAlign w:val="top"/>
          </w:tcPr>
          <w:p>
            <w:pPr>
              <w:spacing w:line="300" w:lineRule="exact"/>
              <w:jc w:val="center"/>
              <w:rPr>
                <w:rFonts w:ascii="黑体" w:hAnsi="黑体" w:eastAsia="黑体" w:cs="黑体"/>
                <w:szCs w:val="21"/>
              </w:rPr>
            </w:pPr>
          </w:p>
        </w:tc>
        <w:tc>
          <w:tcPr>
            <w:tcW w:w="801" w:type="dxa"/>
            <w:noWrap w:val="0"/>
            <w:vAlign w:val="top"/>
          </w:tcPr>
          <w:p>
            <w:pPr>
              <w:spacing w:line="300" w:lineRule="exact"/>
              <w:jc w:val="center"/>
              <w:rPr>
                <w:rFonts w:ascii="黑体" w:hAnsi="黑体" w:eastAsia="黑体" w:cs="黑体"/>
                <w:szCs w:val="21"/>
              </w:rPr>
            </w:pPr>
          </w:p>
        </w:tc>
        <w:tc>
          <w:tcPr>
            <w:tcW w:w="707" w:type="dxa"/>
            <w:noWrap w:val="0"/>
            <w:vAlign w:val="top"/>
          </w:tcPr>
          <w:p>
            <w:pPr>
              <w:spacing w:line="300" w:lineRule="exact"/>
              <w:jc w:val="center"/>
              <w:rPr>
                <w:rFonts w:ascii="黑体" w:hAnsi="黑体" w:eastAsia="黑体" w:cs="黑体"/>
                <w:szCs w:val="21"/>
              </w:rPr>
            </w:pPr>
          </w:p>
        </w:tc>
        <w:tc>
          <w:tcPr>
            <w:tcW w:w="1451" w:type="dxa"/>
            <w:noWrap w:val="0"/>
            <w:vAlign w:val="top"/>
          </w:tcPr>
          <w:p>
            <w:pPr>
              <w:spacing w:line="480" w:lineRule="exact"/>
              <w:jc w:val="center"/>
              <w:rPr>
                <w:rFonts w:ascii="黑体" w:hAnsi="黑体" w:eastAsia="黑体" w:cs="黑体"/>
                <w:sz w:val="28"/>
                <w:szCs w:val="28"/>
              </w:rPr>
            </w:pPr>
          </w:p>
        </w:tc>
        <w:tc>
          <w:tcPr>
            <w:tcW w:w="776" w:type="dxa"/>
            <w:noWrap w:val="0"/>
            <w:vAlign w:val="top"/>
          </w:tcPr>
          <w:p>
            <w:pPr>
              <w:spacing w:line="480" w:lineRule="exact"/>
              <w:jc w:val="center"/>
              <w:rPr>
                <w:rFonts w:ascii="黑体" w:hAnsi="黑体" w:eastAsia="黑体" w:cs="黑体"/>
                <w:sz w:val="28"/>
                <w:szCs w:val="28"/>
              </w:rPr>
            </w:pPr>
          </w:p>
        </w:tc>
      </w:tr>
    </w:tbl>
    <w:p>
      <w:pPr>
        <w:spacing w:line="280" w:lineRule="exact"/>
        <w:jc w:val="lef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仿宋_GB2312" w:eastAsia="仿宋_GB2312" w:cs="仿宋_GB2312"/>
          <w:szCs w:val="21"/>
        </w:rPr>
        <w:t>1.统计范围为本年度1月1日至12月31日。</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3.行政强制执行实施数量是指“加处罚款或者滞纳金，划拨存款、汇款，拍卖或者依法处理查封、扣押的场所、设施或者财物，排</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定的强制收购；《外汇管理条例》规定的回兑等。</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5.申请法院强制执行数量是指向法院申请强制执行的数量，时间以申请日期为准。</w:t>
      </w:r>
    </w:p>
    <w:p>
      <w:pPr>
        <w:spacing w:line="480" w:lineRule="exact"/>
        <w:jc w:val="center"/>
        <w:rPr>
          <w:rFonts w:hint="eastAsia" w:ascii="宋体" w:hAnsi="宋体"/>
          <w:b/>
          <w:color w:val="333333"/>
          <w:kern w:val="0"/>
          <w:sz w:val="32"/>
          <w:szCs w:val="32"/>
        </w:rPr>
      </w:pPr>
    </w:p>
    <w:p>
      <w:pPr>
        <w:spacing w:line="480" w:lineRule="exact"/>
        <w:jc w:val="center"/>
        <w:rPr>
          <w:rFonts w:ascii="宋体" w:hAnsi="宋体" w:cs="文星标宋"/>
          <w:b/>
          <w:sz w:val="32"/>
          <w:szCs w:val="32"/>
        </w:rPr>
      </w:pPr>
      <w:r>
        <w:rPr>
          <w:rFonts w:hint="eastAsia" w:ascii="宋体" w:hAnsi="宋体"/>
          <w:b/>
          <w:color w:val="333333"/>
          <w:kern w:val="0"/>
          <w:sz w:val="32"/>
          <w:szCs w:val="32"/>
        </w:rPr>
        <w:t>4.</w:t>
      </w:r>
      <w:r>
        <w:rPr>
          <w:rFonts w:hint="eastAsia" w:ascii="宋体" w:hAnsi="宋体"/>
          <w:b/>
          <w:color w:val="333333"/>
          <w:kern w:val="0"/>
          <w:sz w:val="32"/>
          <w:szCs w:val="32"/>
          <w:lang w:eastAsia="zh-CN"/>
        </w:rPr>
        <w:t>钢城医保局</w:t>
      </w:r>
      <w:r>
        <w:rPr>
          <w:rFonts w:hint="eastAsia" w:ascii="宋体" w:hAnsi="宋体"/>
          <w:b/>
          <w:color w:val="333333"/>
          <w:kern w:val="0"/>
          <w:sz w:val="32"/>
          <w:szCs w:val="32"/>
        </w:rPr>
        <w:t>2021年度</w:t>
      </w:r>
      <w:r>
        <w:rPr>
          <w:rFonts w:hint="eastAsia" w:ascii="宋体" w:hAnsi="宋体" w:cs="文星标宋"/>
          <w:b/>
          <w:sz w:val="32"/>
          <w:szCs w:val="32"/>
        </w:rPr>
        <w:t>行政征收征用情况统计表</w:t>
      </w:r>
    </w:p>
    <w:p>
      <w:pPr>
        <w:spacing w:line="480" w:lineRule="exact"/>
        <w:rPr>
          <w:rFonts w:ascii="仿宋_GB2312" w:hAnsi="仿宋_GB2312" w:eastAsia="仿宋_GB2312" w:cs="仿宋_GB231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2471"/>
        <w:gridCol w:w="2659"/>
        <w:gridCol w:w="286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noWrap w:val="0"/>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93" w:type="dxa"/>
            <w:gridSpan w:val="3"/>
            <w:noWrap w:val="0"/>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noWrap w:val="0"/>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noWrap w:val="0"/>
            <w:vAlign w:val="center"/>
          </w:tcPr>
          <w:p>
            <w:pPr>
              <w:spacing w:line="480" w:lineRule="exact"/>
              <w:jc w:val="center"/>
            </w:pPr>
          </w:p>
        </w:tc>
        <w:tc>
          <w:tcPr>
            <w:tcW w:w="2471" w:type="dxa"/>
            <w:noWrap w:val="0"/>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659" w:type="dxa"/>
            <w:noWrap w:val="0"/>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2863" w:type="dxa"/>
            <w:noWrap w:val="0"/>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noWrap w:val="0"/>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noWrap w:val="0"/>
            <w:vAlign w:val="center"/>
          </w:tcPr>
          <w:p>
            <w:pPr>
              <w:spacing w:line="320" w:lineRule="exact"/>
              <w:jc w:val="center"/>
              <w:rPr>
                <w:rFonts w:hint="eastAsia" w:eastAsia="宋体"/>
                <w:lang w:eastAsia="zh-CN"/>
              </w:rPr>
            </w:pPr>
            <w:r>
              <w:rPr>
                <w:rFonts w:hint="eastAsia"/>
                <w:lang w:eastAsia="zh-CN"/>
              </w:rPr>
              <w:t>钢城医保局</w:t>
            </w:r>
          </w:p>
        </w:tc>
        <w:tc>
          <w:tcPr>
            <w:tcW w:w="2471" w:type="dxa"/>
            <w:noWrap w:val="0"/>
            <w:vAlign w:val="center"/>
          </w:tcPr>
          <w:p>
            <w:pPr>
              <w:spacing w:line="320" w:lineRule="exact"/>
              <w:jc w:val="center"/>
              <w:rPr>
                <w:rFonts w:hint="eastAsia" w:ascii="黑体" w:hAnsi="黑体" w:eastAsia="黑体" w:cs="黑体"/>
                <w:sz w:val="24"/>
                <w:lang w:val="en-US" w:eastAsia="zh-CN"/>
              </w:rPr>
            </w:pPr>
            <w:r>
              <w:rPr>
                <w:rFonts w:hint="eastAsia" w:ascii="黑体" w:hAnsi="黑体" w:eastAsia="黑体" w:cs="黑体"/>
                <w:sz w:val="24"/>
                <w:lang w:val="en-US" w:eastAsia="zh-CN"/>
              </w:rPr>
              <w:t>0</w:t>
            </w:r>
          </w:p>
        </w:tc>
        <w:tc>
          <w:tcPr>
            <w:tcW w:w="2659" w:type="dxa"/>
            <w:noWrap w:val="0"/>
            <w:vAlign w:val="center"/>
          </w:tcPr>
          <w:p>
            <w:pPr>
              <w:spacing w:line="320" w:lineRule="exact"/>
              <w:jc w:val="center"/>
              <w:rPr>
                <w:rFonts w:hint="eastAsia" w:ascii="黑体" w:hAnsi="黑体" w:eastAsia="黑体" w:cs="黑体"/>
                <w:sz w:val="24"/>
                <w:lang w:val="en-US" w:eastAsia="zh-CN"/>
              </w:rPr>
            </w:pPr>
            <w:r>
              <w:rPr>
                <w:rFonts w:hint="eastAsia" w:ascii="黑体" w:hAnsi="黑体" w:eastAsia="黑体" w:cs="黑体"/>
                <w:sz w:val="24"/>
                <w:lang w:val="en-US" w:eastAsia="zh-CN"/>
              </w:rPr>
              <w:t>0</w:t>
            </w:r>
          </w:p>
        </w:tc>
        <w:tc>
          <w:tcPr>
            <w:tcW w:w="2863" w:type="dxa"/>
            <w:noWrap w:val="0"/>
            <w:vAlign w:val="center"/>
          </w:tcPr>
          <w:p>
            <w:pPr>
              <w:spacing w:line="320" w:lineRule="exact"/>
              <w:jc w:val="center"/>
              <w:rPr>
                <w:rFonts w:hint="eastAsia" w:ascii="黑体" w:hAnsi="黑体" w:eastAsia="黑体" w:cs="黑体"/>
                <w:sz w:val="24"/>
                <w:lang w:val="en-US" w:eastAsia="zh-CN"/>
              </w:rPr>
            </w:pPr>
            <w:r>
              <w:rPr>
                <w:rFonts w:hint="eastAsia" w:ascii="黑体" w:hAnsi="黑体" w:eastAsia="黑体" w:cs="黑体"/>
                <w:sz w:val="24"/>
                <w:lang w:val="en-US" w:eastAsia="zh-CN"/>
              </w:rPr>
              <w:t>0</w:t>
            </w:r>
          </w:p>
        </w:tc>
        <w:tc>
          <w:tcPr>
            <w:tcW w:w="2602"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noWrap w:val="0"/>
            <w:vAlign w:val="center"/>
          </w:tcPr>
          <w:p>
            <w:pPr>
              <w:spacing w:line="320" w:lineRule="exact"/>
              <w:jc w:val="center"/>
            </w:pPr>
          </w:p>
        </w:tc>
        <w:tc>
          <w:tcPr>
            <w:tcW w:w="2471" w:type="dxa"/>
            <w:noWrap w:val="0"/>
            <w:vAlign w:val="center"/>
          </w:tcPr>
          <w:p>
            <w:pPr>
              <w:spacing w:line="480" w:lineRule="exact"/>
              <w:jc w:val="center"/>
              <w:rPr>
                <w:rFonts w:ascii="仿宋_GB2312" w:hAnsi="仿宋_GB2312" w:eastAsia="仿宋_GB2312" w:cs="仿宋_GB2312"/>
                <w:sz w:val="24"/>
              </w:rPr>
            </w:pPr>
          </w:p>
        </w:tc>
        <w:tc>
          <w:tcPr>
            <w:tcW w:w="2659" w:type="dxa"/>
            <w:noWrap w:val="0"/>
            <w:vAlign w:val="center"/>
          </w:tcPr>
          <w:p>
            <w:pPr>
              <w:spacing w:line="480" w:lineRule="exact"/>
              <w:jc w:val="center"/>
              <w:rPr>
                <w:rFonts w:ascii="仿宋_GB2312" w:hAnsi="仿宋_GB2312" w:eastAsia="仿宋_GB2312" w:cs="仿宋_GB2312"/>
                <w:sz w:val="24"/>
              </w:rPr>
            </w:pPr>
          </w:p>
        </w:tc>
        <w:tc>
          <w:tcPr>
            <w:tcW w:w="2863" w:type="dxa"/>
            <w:noWrap w:val="0"/>
            <w:vAlign w:val="center"/>
          </w:tcPr>
          <w:p>
            <w:pPr>
              <w:spacing w:line="480" w:lineRule="exact"/>
              <w:jc w:val="center"/>
              <w:rPr>
                <w:rFonts w:ascii="仿宋_GB2312" w:hAnsi="仿宋_GB2312" w:eastAsia="仿宋_GB2312" w:cs="仿宋_GB2312"/>
                <w:sz w:val="24"/>
              </w:rPr>
            </w:pPr>
          </w:p>
        </w:tc>
        <w:tc>
          <w:tcPr>
            <w:tcW w:w="2602" w:type="dxa"/>
            <w:noWrap w:val="0"/>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noWrap w:val="0"/>
            <w:vAlign w:val="center"/>
          </w:tcPr>
          <w:p>
            <w:pPr>
              <w:spacing w:line="480" w:lineRule="exact"/>
              <w:jc w:val="center"/>
              <w:rPr>
                <w:rFonts w:ascii="黑体" w:hAnsi="黑体" w:eastAsia="黑体" w:cs="黑体"/>
                <w:sz w:val="28"/>
                <w:szCs w:val="28"/>
              </w:rPr>
            </w:pPr>
          </w:p>
        </w:tc>
        <w:tc>
          <w:tcPr>
            <w:tcW w:w="2471" w:type="dxa"/>
            <w:noWrap w:val="0"/>
            <w:vAlign w:val="center"/>
          </w:tcPr>
          <w:p>
            <w:pPr>
              <w:spacing w:line="480" w:lineRule="exact"/>
              <w:jc w:val="center"/>
              <w:rPr>
                <w:rFonts w:ascii="仿宋_GB2312" w:hAnsi="仿宋_GB2312" w:eastAsia="仿宋_GB2312" w:cs="仿宋_GB2312"/>
                <w:sz w:val="24"/>
              </w:rPr>
            </w:pPr>
          </w:p>
        </w:tc>
        <w:tc>
          <w:tcPr>
            <w:tcW w:w="2659" w:type="dxa"/>
            <w:noWrap w:val="0"/>
            <w:vAlign w:val="center"/>
          </w:tcPr>
          <w:p>
            <w:pPr>
              <w:spacing w:line="480" w:lineRule="exact"/>
              <w:jc w:val="center"/>
              <w:rPr>
                <w:rFonts w:ascii="仿宋_GB2312" w:hAnsi="仿宋_GB2312" w:eastAsia="仿宋_GB2312" w:cs="仿宋_GB2312"/>
                <w:sz w:val="24"/>
              </w:rPr>
            </w:pPr>
          </w:p>
        </w:tc>
        <w:tc>
          <w:tcPr>
            <w:tcW w:w="2863" w:type="dxa"/>
            <w:noWrap w:val="0"/>
            <w:vAlign w:val="center"/>
          </w:tcPr>
          <w:p>
            <w:pPr>
              <w:spacing w:line="480" w:lineRule="exact"/>
              <w:jc w:val="center"/>
              <w:rPr>
                <w:rFonts w:ascii="仿宋_GB2312" w:hAnsi="仿宋_GB2312" w:eastAsia="仿宋_GB2312" w:cs="仿宋_GB2312"/>
                <w:sz w:val="24"/>
              </w:rPr>
            </w:pPr>
          </w:p>
        </w:tc>
        <w:tc>
          <w:tcPr>
            <w:tcW w:w="2602" w:type="dxa"/>
            <w:noWrap w:val="0"/>
            <w:vAlign w:val="center"/>
          </w:tcPr>
          <w:p>
            <w:pPr>
              <w:spacing w:line="480" w:lineRule="exact"/>
              <w:jc w:val="center"/>
              <w:rPr>
                <w:rFonts w:ascii="仿宋_GB2312" w:hAnsi="仿宋_GB2312" w:eastAsia="仿宋_GB2312" w:cs="仿宋_GB2312"/>
                <w:sz w:val="24"/>
              </w:rPr>
            </w:pPr>
          </w:p>
        </w:tc>
      </w:tr>
    </w:tbl>
    <w:p>
      <w:pPr>
        <w:spacing w:line="280" w:lineRule="exact"/>
        <w:jc w:val="lef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黑体" w:eastAsia="仿宋_GB2312" w:cs="黑体"/>
          <w:szCs w:val="21"/>
        </w:rPr>
        <w:t xml:space="preserve">  </w:t>
      </w:r>
      <w:r>
        <w:rPr>
          <w:rFonts w:hint="eastAsia" w:ascii="仿宋_GB2312" w:hAnsi="黑体" w:eastAsia="仿宋_GB2312" w:cs="黑体"/>
          <w:sz w:val="22"/>
        </w:rPr>
        <w:t>1.</w:t>
      </w:r>
      <w:r>
        <w:rPr>
          <w:rFonts w:hint="eastAsia" w:ascii="仿宋_GB2312" w:hAnsi="仿宋_GB2312" w:eastAsia="仿宋_GB2312" w:cs="仿宋_GB2312"/>
          <w:szCs w:val="21"/>
        </w:rPr>
        <w:t>统计范围为本年度 1月1日至12月31日。</w:t>
      </w:r>
    </w:p>
    <w:p>
      <w:pPr>
        <w:spacing w:line="280" w:lineRule="exact"/>
        <w:ind w:left="840" w:leftChars="40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行政征收主要是指行政机关行政收费及土地、房产征收等情况。土地、房屋征收实施数量的统计，以政府正式批文为准。（因征税属于中央垂直管理，不列入我市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spacing w:line="480" w:lineRule="exact"/>
        <w:jc w:val="center"/>
        <w:rPr>
          <w:rFonts w:ascii="仿宋_GB2312" w:hAnsi="文星标宋" w:eastAsia="仿宋_GB2312" w:cs="文星标宋"/>
          <w:sz w:val="44"/>
          <w:szCs w:val="44"/>
        </w:rPr>
      </w:pPr>
    </w:p>
    <w:p>
      <w:pPr>
        <w:widowControl/>
        <w:rPr>
          <w:rFonts w:ascii="黑体" w:hAnsi="黑体" w:eastAsia="黑体"/>
          <w:color w:val="333333"/>
          <w:kern w:val="0"/>
          <w:sz w:val="44"/>
          <w:szCs w:val="44"/>
        </w:rPr>
      </w:pPr>
    </w:p>
    <w:p>
      <w:pPr>
        <w:widowControl/>
        <w:rPr>
          <w:rFonts w:ascii="黑体" w:hAnsi="黑体" w:eastAsia="黑体"/>
          <w:color w:val="333333"/>
          <w:kern w:val="0"/>
          <w:sz w:val="44"/>
          <w:szCs w:val="44"/>
        </w:rPr>
      </w:pPr>
    </w:p>
    <w:p>
      <w:pPr>
        <w:widowControl/>
        <w:rPr>
          <w:rFonts w:ascii="黑体" w:hAnsi="黑体" w:eastAsia="黑体"/>
          <w:color w:val="333333"/>
          <w:kern w:val="0"/>
          <w:sz w:val="44"/>
          <w:szCs w:val="44"/>
        </w:rPr>
      </w:pPr>
    </w:p>
    <w:p>
      <w:pPr>
        <w:widowControl/>
        <w:jc w:val="center"/>
        <w:rPr>
          <w:rFonts w:ascii="宋体" w:hAnsi="宋体"/>
          <w:b/>
          <w:color w:val="333333"/>
          <w:kern w:val="0"/>
          <w:sz w:val="44"/>
          <w:szCs w:val="44"/>
        </w:rPr>
      </w:pPr>
      <w:r>
        <w:rPr>
          <w:rFonts w:hint="eastAsia" w:ascii="宋体" w:hAnsi="宋体"/>
          <w:b/>
          <w:color w:val="333333"/>
          <w:kern w:val="0"/>
          <w:sz w:val="32"/>
          <w:szCs w:val="32"/>
        </w:rPr>
        <w:t>5.</w:t>
      </w:r>
      <w:r>
        <w:rPr>
          <w:rFonts w:hint="eastAsia" w:ascii="宋体" w:hAnsi="宋体"/>
          <w:b/>
          <w:color w:val="333333"/>
          <w:kern w:val="0"/>
          <w:sz w:val="32"/>
          <w:szCs w:val="32"/>
          <w:lang w:eastAsia="zh-CN"/>
        </w:rPr>
        <w:t>钢城医保局</w:t>
      </w:r>
      <w:r>
        <w:rPr>
          <w:rFonts w:hint="eastAsia" w:ascii="宋体" w:hAnsi="宋体"/>
          <w:b/>
          <w:color w:val="333333"/>
          <w:kern w:val="0"/>
          <w:sz w:val="32"/>
          <w:szCs w:val="32"/>
        </w:rPr>
        <w:t>2021年度</w:t>
      </w:r>
      <w:r>
        <w:rPr>
          <w:rFonts w:hint="eastAsia" w:ascii="宋体" w:hAnsi="宋体" w:cs="文星标宋"/>
          <w:b/>
          <w:sz w:val="32"/>
          <w:szCs w:val="32"/>
        </w:rPr>
        <w:t>行政检查情况统计表</w:t>
      </w:r>
    </w:p>
    <w:p>
      <w:pPr>
        <w:widowControl/>
        <w:rPr>
          <w:rFonts w:ascii="黑体" w:hAnsi="黑体" w:eastAsia="黑体"/>
          <w:color w:val="333333"/>
          <w:kern w:val="0"/>
          <w:sz w:val="44"/>
          <w:szCs w:val="44"/>
        </w:rPr>
      </w:pPr>
    </w:p>
    <w:p>
      <w:pPr>
        <w:spacing w:line="480" w:lineRule="exact"/>
        <w:rPr>
          <w:rFonts w:ascii="仿宋_GB2312" w:hAnsi="仿宋_GB2312" w:eastAsia="仿宋_GB2312" w:cs="仿宋_GB2312"/>
          <w:sz w:val="24"/>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top"/>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noWrap w:val="0"/>
            <w:vAlign w:val="top"/>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center"/>
          </w:tcPr>
          <w:p>
            <w:pPr>
              <w:spacing w:line="320" w:lineRule="exact"/>
              <w:jc w:val="center"/>
              <w:rPr>
                <w:rFonts w:hint="eastAsia" w:eastAsia="宋体"/>
                <w:lang w:eastAsia="zh-CN"/>
              </w:rPr>
            </w:pPr>
            <w:r>
              <w:rPr>
                <w:rFonts w:hint="eastAsia"/>
                <w:lang w:eastAsia="zh-CN"/>
              </w:rPr>
              <w:t>钢城医保局</w:t>
            </w:r>
          </w:p>
        </w:tc>
        <w:tc>
          <w:tcPr>
            <w:tcW w:w="6199" w:type="dxa"/>
            <w:noWrap w:val="0"/>
            <w:vAlign w:val="top"/>
          </w:tcPr>
          <w:p>
            <w:pPr>
              <w:spacing w:line="48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center"/>
          </w:tcPr>
          <w:p>
            <w:pPr>
              <w:spacing w:line="320" w:lineRule="exact"/>
              <w:jc w:val="center"/>
            </w:pPr>
          </w:p>
        </w:tc>
        <w:tc>
          <w:tcPr>
            <w:tcW w:w="6199" w:type="dxa"/>
            <w:noWrap w:val="0"/>
            <w:vAlign w:val="top"/>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noWrap w:val="0"/>
            <w:vAlign w:val="center"/>
          </w:tcPr>
          <w:p>
            <w:pPr>
              <w:spacing w:line="480" w:lineRule="exact"/>
              <w:jc w:val="center"/>
              <w:rPr>
                <w:rFonts w:ascii="仿宋_GB2312" w:hAnsi="仿宋_GB2312" w:eastAsia="仿宋_GB2312" w:cs="仿宋_GB2312"/>
                <w:sz w:val="24"/>
              </w:rPr>
            </w:pPr>
          </w:p>
        </w:tc>
        <w:tc>
          <w:tcPr>
            <w:tcW w:w="6199" w:type="dxa"/>
            <w:noWrap w:val="0"/>
            <w:vAlign w:val="top"/>
          </w:tcPr>
          <w:p>
            <w:pPr>
              <w:spacing w:line="480" w:lineRule="exact"/>
              <w:rPr>
                <w:rFonts w:ascii="仿宋_GB2312" w:hAnsi="仿宋_GB2312" w:eastAsia="仿宋_GB2312" w:cs="仿宋_GB2312"/>
                <w:sz w:val="24"/>
              </w:rPr>
            </w:pPr>
          </w:p>
        </w:tc>
      </w:tr>
    </w:tbl>
    <w:p>
      <w:pPr>
        <w:spacing w:line="320" w:lineRule="exac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黑体" w:eastAsia="仿宋_GB2312" w:cs="黑体"/>
          <w:szCs w:val="21"/>
        </w:rPr>
        <w:t>1.</w:t>
      </w:r>
      <w:r>
        <w:rPr>
          <w:rFonts w:hint="eastAsia" w:ascii="仿宋_GB2312" w:hAnsi="仿宋_GB2312" w:eastAsia="仿宋_GB2312" w:cs="仿宋_GB2312"/>
          <w:szCs w:val="21"/>
        </w:rPr>
        <w:t>统计范围为本年度 1月1日至12月31日。</w:t>
      </w:r>
    </w:p>
    <w:p>
      <w:pPr>
        <w:spacing w:line="320" w:lineRule="exact"/>
        <w:ind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2.行政检查的次数是指检查1个检查对象，有完整、详细的检查记录，计为检查1次。无特定检查对象的巡查、巡逻，无完整、详</w:t>
      </w:r>
    </w:p>
    <w:p>
      <w:pPr>
        <w:spacing w:line="320" w:lineRule="exact"/>
        <w:ind w:firstLine="1050" w:firstLineChars="500"/>
        <w:rPr>
          <w:rFonts w:ascii="Times New Roman" w:hAnsi="Times New Roman"/>
          <w:color w:val="333333"/>
          <w:kern w:val="0"/>
          <w:szCs w:val="21"/>
        </w:rPr>
        <w:sectPr>
          <w:pgSz w:w="16838" w:h="11906" w:orient="landscape"/>
          <w:pgMar w:top="1797" w:right="1440" w:bottom="1797" w:left="1440" w:header="851" w:footer="992" w:gutter="0"/>
          <w:cols w:space="720" w:num="1"/>
          <w:docGrid w:linePitch="312" w:charSpace="0"/>
        </w:sectPr>
      </w:pPr>
      <w:r>
        <w:rPr>
          <w:rFonts w:hint="eastAsia" w:ascii="仿宋_GB2312" w:hAnsi="仿宋_GB2312" w:eastAsia="仿宋_GB2312" w:cs="仿宋_GB2312"/>
          <w:szCs w:val="21"/>
        </w:rPr>
        <w:t>细检查记录，检查后作出行政处罚等其他行政执法行为的，均不计为检查次数。</w:t>
      </w:r>
    </w:p>
    <w:p>
      <w:pPr>
        <w:widowControl/>
        <w:jc w:val="center"/>
        <w:rPr>
          <w:rFonts w:ascii="宋体" w:hAnsi="宋体"/>
          <w:b/>
          <w:color w:val="333333"/>
          <w:kern w:val="0"/>
          <w:szCs w:val="21"/>
        </w:rPr>
      </w:pPr>
      <w:r>
        <w:rPr>
          <w:rFonts w:hint="eastAsia" w:ascii="宋体" w:hAnsi="宋体"/>
          <w:b/>
          <w:color w:val="333333"/>
          <w:kern w:val="0"/>
          <w:sz w:val="32"/>
          <w:szCs w:val="32"/>
        </w:rPr>
        <w:t>6.</w:t>
      </w:r>
      <w:r>
        <w:rPr>
          <w:rFonts w:hint="eastAsia" w:ascii="宋体" w:hAnsi="宋体"/>
          <w:b/>
          <w:color w:val="333333"/>
          <w:kern w:val="0"/>
          <w:sz w:val="32"/>
          <w:szCs w:val="32"/>
          <w:lang w:eastAsia="zh-CN"/>
        </w:rPr>
        <w:t>钢城医保局</w:t>
      </w:r>
      <w:r>
        <w:rPr>
          <w:rFonts w:hint="eastAsia" w:ascii="宋体" w:hAnsi="宋体"/>
          <w:b/>
          <w:color w:val="333333"/>
          <w:kern w:val="0"/>
          <w:sz w:val="32"/>
          <w:szCs w:val="32"/>
        </w:rPr>
        <w:t>2021年度</w:t>
      </w:r>
      <w:r>
        <w:rPr>
          <w:rFonts w:hint="eastAsia" w:ascii="宋体" w:hAnsi="宋体" w:cs="文星标宋"/>
          <w:b/>
          <w:sz w:val="32"/>
          <w:szCs w:val="32"/>
        </w:rPr>
        <w:t>其他行政执法行为情况统计表</w:t>
      </w:r>
    </w:p>
    <w:p>
      <w:pPr>
        <w:widowControl/>
        <w:rPr>
          <w:rFonts w:ascii="Times New Roman" w:hAnsi="Times New Roman"/>
          <w:color w:val="333333"/>
          <w:kern w:val="0"/>
          <w:szCs w:val="21"/>
        </w:rPr>
      </w:pPr>
    </w:p>
    <w:tbl>
      <w:tblPr>
        <w:tblStyle w:val="4"/>
        <w:tblW w:w="13623" w:type="dxa"/>
        <w:jc w:val="center"/>
        <w:tblLayout w:type="autofit"/>
        <w:tblCellMar>
          <w:top w:w="0" w:type="dxa"/>
          <w:left w:w="0" w:type="dxa"/>
          <w:bottom w:w="0" w:type="dxa"/>
          <w:right w:w="0" w:type="dxa"/>
        </w:tblCellMar>
      </w:tblPr>
      <w:tblGrid>
        <w:gridCol w:w="1828"/>
        <w:gridCol w:w="1100"/>
        <w:gridCol w:w="1375"/>
        <w:gridCol w:w="857"/>
        <w:gridCol w:w="1706"/>
        <w:gridCol w:w="1532"/>
        <w:gridCol w:w="831"/>
        <w:gridCol w:w="1757"/>
        <w:gridCol w:w="2637"/>
      </w:tblGrid>
      <w:tr>
        <w:tblPrEx>
          <w:tblCellMar>
            <w:top w:w="0" w:type="dxa"/>
            <w:left w:w="0" w:type="dxa"/>
            <w:bottom w:w="0" w:type="dxa"/>
            <w:right w:w="0" w:type="dxa"/>
          </w:tblCellMar>
        </w:tblPrEx>
        <w:trPr>
          <w:trHeight w:val="664" w:hRule="atLeast"/>
          <w:jc w:val="center"/>
        </w:trPr>
        <w:tc>
          <w:tcPr>
            <w:tcW w:w="1828"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单位名称</w:t>
            </w:r>
          </w:p>
        </w:tc>
        <w:tc>
          <w:tcPr>
            <w:tcW w:w="2475" w:type="dxa"/>
            <w:gridSpan w:val="2"/>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行政裁决</w:t>
            </w:r>
          </w:p>
        </w:tc>
        <w:tc>
          <w:tcPr>
            <w:tcW w:w="2563"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行政给付</w:t>
            </w:r>
          </w:p>
        </w:tc>
        <w:tc>
          <w:tcPr>
            <w:tcW w:w="153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行政确认</w:t>
            </w:r>
          </w:p>
        </w:tc>
        <w:tc>
          <w:tcPr>
            <w:tcW w:w="2588"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行政奖励</w:t>
            </w:r>
          </w:p>
        </w:tc>
        <w:tc>
          <w:tcPr>
            <w:tcW w:w="263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其他行政执法行为</w:t>
            </w:r>
          </w:p>
        </w:tc>
      </w:tr>
      <w:tr>
        <w:tblPrEx>
          <w:tblCellMar>
            <w:top w:w="0" w:type="dxa"/>
            <w:left w:w="0" w:type="dxa"/>
            <w:bottom w:w="0" w:type="dxa"/>
            <w:right w:w="0" w:type="dxa"/>
          </w:tblCellMar>
        </w:tblPrEx>
        <w:trPr>
          <w:jc w:val="center"/>
        </w:trPr>
        <w:tc>
          <w:tcPr>
            <w:tcW w:w="18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olor w:val="343434"/>
                <w:kern w:val="0"/>
                <w:sz w:val="28"/>
                <w:szCs w:val="28"/>
              </w:rPr>
            </w:pPr>
          </w:p>
        </w:tc>
        <w:tc>
          <w:tcPr>
            <w:tcW w:w="110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涉及金额</w:t>
            </w:r>
          </w:p>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（万元）</w:t>
            </w: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给付总金额（万元）</w:t>
            </w: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次数</w:t>
            </w: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奖励总金额（万元）</w:t>
            </w: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黑体" w:hAnsi="黑体" w:eastAsia="黑体"/>
                <w:color w:val="343434"/>
                <w:kern w:val="0"/>
                <w:sz w:val="28"/>
                <w:szCs w:val="28"/>
              </w:rPr>
            </w:pPr>
            <w:r>
              <w:rPr>
                <w:rFonts w:hint="eastAsia" w:ascii="黑体" w:hAnsi="黑体" w:eastAsia="黑体"/>
                <w:bCs/>
                <w:color w:val="343434"/>
                <w:kern w:val="0"/>
                <w:sz w:val="28"/>
                <w:szCs w:val="28"/>
              </w:rPr>
              <w:t>宗数</w:t>
            </w:r>
          </w:p>
        </w:tc>
      </w:tr>
      <w:tr>
        <w:tblPrEx>
          <w:tblCellMar>
            <w:top w:w="0" w:type="dxa"/>
            <w:left w:w="0" w:type="dxa"/>
            <w:bottom w:w="0" w:type="dxa"/>
            <w:right w:w="0" w:type="dxa"/>
          </w:tblCellMar>
        </w:tblPrEx>
        <w:trPr>
          <w:trHeight w:val="740" w:hRule="atLeast"/>
          <w:jc w:val="center"/>
        </w:trPr>
        <w:tc>
          <w:tcPr>
            <w:tcW w:w="182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20" w:lineRule="exact"/>
              <w:jc w:val="center"/>
              <w:rPr>
                <w:rFonts w:hint="eastAsia" w:eastAsia="宋体"/>
                <w:lang w:eastAsia="zh-CN"/>
              </w:rPr>
            </w:pPr>
            <w:r>
              <w:rPr>
                <w:rFonts w:hint="eastAsia"/>
                <w:lang w:eastAsia="zh-CN"/>
              </w:rPr>
              <w:t>钢城医保局</w:t>
            </w:r>
          </w:p>
        </w:tc>
        <w:tc>
          <w:tcPr>
            <w:tcW w:w="110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top"/>
          </w:tcPr>
          <w:p>
            <w:pPr>
              <w:widowControl/>
              <w:rPr>
                <w:rFonts w:hint="eastAsia" w:ascii="仿宋_GB2312" w:hAnsi="Times New Roman" w:eastAsia="仿宋_GB2312"/>
                <w:color w:val="343434"/>
                <w:kern w:val="0"/>
                <w:sz w:val="28"/>
                <w:szCs w:val="28"/>
                <w:lang w:val="en-US" w:eastAsia="zh-CN"/>
              </w:rPr>
            </w:pPr>
            <w:r>
              <w:rPr>
                <w:rFonts w:hint="eastAsia" w:ascii="仿宋_GB2312" w:hAnsi="Times New Roman" w:eastAsia="仿宋_GB2312"/>
                <w:color w:val="343434"/>
                <w:kern w:val="0"/>
                <w:sz w:val="28"/>
                <w:szCs w:val="28"/>
                <w:lang w:val="en-US" w:eastAsia="zh-CN"/>
              </w:rPr>
              <w:t>0</w:t>
            </w: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hint="eastAsia" w:ascii="仿宋_GB2312" w:hAnsi="Times New Roman" w:eastAsia="仿宋_GB2312"/>
                <w:color w:val="343434"/>
                <w:kern w:val="0"/>
                <w:sz w:val="28"/>
                <w:szCs w:val="28"/>
                <w:lang w:val="en-US" w:eastAsia="zh-CN"/>
              </w:rPr>
            </w:pPr>
            <w:r>
              <w:rPr>
                <w:rFonts w:hint="eastAsia" w:ascii="仿宋_GB2312" w:hAnsi="Times New Roman" w:eastAsia="仿宋_GB2312"/>
                <w:color w:val="343434"/>
                <w:kern w:val="0"/>
                <w:sz w:val="28"/>
                <w:szCs w:val="28"/>
                <w:lang w:val="en-US" w:eastAsia="zh-CN"/>
              </w:rPr>
              <w:t>0</w:t>
            </w: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hint="eastAsia" w:ascii="仿宋_GB2312" w:hAnsi="Times New Roman" w:eastAsia="仿宋_GB2312"/>
                <w:color w:val="343434"/>
                <w:kern w:val="0"/>
                <w:sz w:val="28"/>
                <w:szCs w:val="28"/>
                <w:lang w:val="en-US" w:eastAsia="zh-CN"/>
              </w:rPr>
            </w:pPr>
            <w:r>
              <w:rPr>
                <w:rFonts w:hint="eastAsia" w:ascii="仿宋_GB2312" w:hAnsi="Times New Roman" w:eastAsia="仿宋_GB2312"/>
                <w:color w:val="343434"/>
                <w:kern w:val="0"/>
                <w:sz w:val="28"/>
                <w:szCs w:val="28"/>
                <w:lang w:val="en-US" w:eastAsia="zh-CN"/>
              </w:rPr>
              <w:t>0</w:t>
            </w: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hint="eastAsia" w:ascii="仿宋_GB2312" w:hAnsi="Times New Roman" w:eastAsia="仿宋_GB2312"/>
                <w:color w:val="343434"/>
                <w:kern w:val="0"/>
                <w:sz w:val="28"/>
                <w:szCs w:val="28"/>
                <w:lang w:val="en-US" w:eastAsia="zh-CN"/>
              </w:rPr>
            </w:pPr>
            <w:r>
              <w:rPr>
                <w:rFonts w:hint="eastAsia" w:ascii="仿宋_GB2312" w:hAnsi="Times New Roman" w:eastAsia="仿宋_GB2312"/>
                <w:color w:val="343434"/>
                <w:kern w:val="0"/>
                <w:sz w:val="28"/>
                <w:szCs w:val="28"/>
                <w:lang w:val="en-US" w:eastAsia="zh-CN"/>
              </w:rPr>
              <w:t>0</w:t>
            </w: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hint="eastAsia" w:ascii="仿宋_GB2312" w:hAnsi="Times New Roman" w:eastAsia="仿宋_GB2312"/>
                <w:color w:val="343434"/>
                <w:kern w:val="0"/>
                <w:sz w:val="28"/>
                <w:szCs w:val="28"/>
                <w:lang w:val="en-US" w:eastAsia="zh-CN"/>
              </w:rPr>
            </w:pPr>
            <w:r>
              <w:rPr>
                <w:rFonts w:hint="eastAsia" w:ascii="仿宋_GB2312" w:hAnsi="Times New Roman" w:eastAsia="仿宋_GB2312"/>
                <w:color w:val="343434"/>
                <w:kern w:val="0"/>
                <w:sz w:val="28"/>
                <w:szCs w:val="28"/>
                <w:lang w:val="en-US" w:eastAsia="zh-CN"/>
              </w:rPr>
              <w:t>0</w:t>
            </w: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hint="eastAsia" w:ascii="仿宋_GB2312" w:hAnsi="Times New Roman" w:eastAsia="仿宋_GB2312"/>
                <w:color w:val="343434"/>
                <w:kern w:val="0"/>
                <w:sz w:val="28"/>
                <w:szCs w:val="28"/>
                <w:lang w:val="en-US" w:eastAsia="zh-CN"/>
              </w:rPr>
            </w:pPr>
            <w:r>
              <w:rPr>
                <w:rFonts w:hint="eastAsia" w:ascii="仿宋_GB2312" w:hAnsi="Times New Roman" w:eastAsia="仿宋_GB2312"/>
                <w:color w:val="343434"/>
                <w:kern w:val="0"/>
                <w:sz w:val="28"/>
                <w:szCs w:val="28"/>
                <w:lang w:val="en-US" w:eastAsia="zh-CN"/>
              </w:rPr>
              <w:t>0</w:t>
            </w: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hint="eastAsia" w:ascii="仿宋_GB2312" w:hAnsi="Times New Roman" w:eastAsia="仿宋_GB2312"/>
                <w:color w:val="343434"/>
                <w:kern w:val="0"/>
                <w:sz w:val="28"/>
                <w:szCs w:val="28"/>
                <w:lang w:val="en-US" w:eastAsia="zh-CN"/>
              </w:rPr>
            </w:pPr>
            <w:r>
              <w:rPr>
                <w:rFonts w:hint="eastAsia" w:ascii="仿宋_GB2312" w:hAnsi="Times New Roman" w:eastAsia="仿宋_GB2312"/>
                <w:color w:val="343434"/>
                <w:kern w:val="0"/>
                <w:sz w:val="28"/>
                <w:szCs w:val="28"/>
                <w:lang w:val="en-US" w:eastAsia="zh-CN"/>
              </w:rPr>
              <w:t>0</w:t>
            </w: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hint="eastAsia" w:ascii="仿宋_GB2312" w:hAnsi="Times New Roman" w:eastAsia="仿宋_GB2312"/>
                <w:color w:val="343434"/>
                <w:kern w:val="0"/>
                <w:sz w:val="28"/>
                <w:szCs w:val="28"/>
                <w:lang w:val="en-US" w:eastAsia="zh-CN"/>
              </w:rPr>
            </w:pPr>
            <w:r>
              <w:rPr>
                <w:rFonts w:hint="eastAsia" w:ascii="仿宋_GB2312" w:hAnsi="Times New Roman" w:eastAsia="仿宋_GB2312"/>
                <w:color w:val="343434"/>
                <w:kern w:val="0"/>
                <w:sz w:val="28"/>
                <w:szCs w:val="28"/>
                <w:lang w:val="en-US" w:eastAsia="zh-CN"/>
              </w:rPr>
              <w:t>0</w:t>
            </w:r>
          </w:p>
        </w:tc>
      </w:tr>
      <w:tr>
        <w:tblPrEx>
          <w:tblCellMar>
            <w:top w:w="0" w:type="dxa"/>
            <w:left w:w="0" w:type="dxa"/>
            <w:bottom w:w="0" w:type="dxa"/>
            <w:right w:w="0" w:type="dxa"/>
          </w:tblCellMar>
        </w:tblPrEx>
        <w:trPr>
          <w:trHeight w:val="736" w:hRule="atLeast"/>
          <w:jc w:val="center"/>
        </w:trPr>
        <w:tc>
          <w:tcPr>
            <w:tcW w:w="182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20" w:lineRule="exact"/>
              <w:jc w:val="center"/>
            </w:pPr>
          </w:p>
        </w:tc>
        <w:tc>
          <w:tcPr>
            <w:tcW w:w="110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r>
      <w:tr>
        <w:tblPrEx>
          <w:tblCellMar>
            <w:top w:w="0" w:type="dxa"/>
            <w:left w:w="0" w:type="dxa"/>
            <w:bottom w:w="0" w:type="dxa"/>
            <w:right w:w="0" w:type="dxa"/>
          </w:tblCellMar>
        </w:tblPrEx>
        <w:trPr>
          <w:trHeight w:val="691" w:hRule="atLeast"/>
          <w:jc w:val="center"/>
        </w:trPr>
        <w:tc>
          <w:tcPr>
            <w:tcW w:w="182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110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hAnsi="Times New Roman" w:eastAsia="仿宋_GB2312"/>
                <w:color w:val="343434"/>
                <w:kern w:val="0"/>
                <w:sz w:val="28"/>
                <w:szCs w:val="28"/>
              </w:rPr>
            </w:pPr>
          </w:p>
        </w:tc>
      </w:tr>
      <w:tr>
        <w:tblPrEx>
          <w:tblCellMar>
            <w:top w:w="0" w:type="dxa"/>
            <w:left w:w="0" w:type="dxa"/>
            <w:bottom w:w="0" w:type="dxa"/>
            <w:right w:w="0" w:type="dxa"/>
          </w:tblCellMar>
        </w:tblPrEx>
        <w:trPr>
          <w:trHeight w:val="687" w:hRule="atLeast"/>
          <w:jc w:val="center"/>
        </w:trPr>
        <w:tc>
          <w:tcPr>
            <w:tcW w:w="182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10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r>
      <w:tr>
        <w:tblPrEx>
          <w:tblCellMar>
            <w:top w:w="0" w:type="dxa"/>
            <w:left w:w="0" w:type="dxa"/>
            <w:bottom w:w="0" w:type="dxa"/>
            <w:right w:w="0" w:type="dxa"/>
          </w:tblCellMar>
        </w:tblPrEx>
        <w:trPr>
          <w:trHeight w:val="682" w:hRule="atLeast"/>
          <w:jc w:val="center"/>
        </w:trPr>
        <w:tc>
          <w:tcPr>
            <w:tcW w:w="182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jc w:val="center"/>
              <w:rPr>
                <w:rFonts w:hint="eastAsia" w:ascii="仿宋_GB2312" w:hAnsi="Times New Roman" w:eastAsia="仿宋_GB2312"/>
                <w:color w:val="343434"/>
                <w:kern w:val="0"/>
                <w:sz w:val="28"/>
                <w:szCs w:val="28"/>
              </w:rPr>
            </w:pPr>
          </w:p>
        </w:tc>
        <w:tc>
          <w:tcPr>
            <w:tcW w:w="110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3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70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53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83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17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c>
          <w:tcPr>
            <w:tcW w:w="263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rPr>
                <w:rFonts w:ascii="仿宋_GB2312" w:hAnsi="Times New Roman" w:eastAsia="仿宋_GB2312"/>
                <w:color w:val="343434"/>
                <w:kern w:val="0"/>
                <w:sz w:val="28"/>
                <w:szCs w:val="28"/>
              </w:rPr>
            </w:pPr>
          </w:p>
        </w:tc>
      </w:tr>
    </w:tbl>
    <w:p>
      <w:pPr>
        <w:widowControl/>
        <w:spacing w:line="320" w:lineRule="exact"/>
        <w:ind w:left="1059" w:leftChars="-67" w:hanging="1199" w:hangingChars="571"/>
        <w:rPr>
          <w:rFonts w:ascii="Times New Roman" w:hAnsi="Times New Roman"/>
          <w:color w:val="333333"/>
          <w:kern w:val="0"/>
          <w:szCs w:val="21"/>
        </w:rPr>
      </w:pPr>
      <w:r>
        <w:rPr>
          <w:rFonts w:hint="eastAsia" w:ascii="黑体" w:hAnsi="黑体" w:eastAsia="黑体" w:cs="黑体"/>
          <w:szCs w:val="21"/>
        </w:rPr>
        <w:t>填表说明</w:t>
      </w:r>
      <w:r>
        <w:rPr>
          <w:rFonts w:hint="eastAsia" w:ascii="仿宋_GB2312" w:hAnsi="Times New Roman" w:eastAsia="仿宋_GB2312"/>
          <w:color w:val="333333"/>
          <w:kern w:val="0"/>
          <w:sz w:val="24"/>
          <w:szCs w:val="24"/>
        </w:rPr>
        <w:t xml:space="preserve">： </w:t>
      </w:r>
      <w:r>
        <w:rPr>
          <w:rFonts w:hint="eastAsia" w:ascii="仿宋_GB2312" w:hAnsi="Times New Roman" w:eastAsia="仿宋_GB2312"/>
          <w:color w:val="333333"/>
          <w:kern w:val="0"/>
          <w:szCs w:val="21"/>
        </w:rPr>
        <w:t>1.“行政裁决次数”、“行政确认次数”、“行政奖励次数”的统计范围为本年度1月1日至12月31日期间作出行政裁决、行政确认、行政奖励决定的数量。“行政给付次数”的统计范围为本年度1月1日至12月31日期间给付完毕的数量。</w:t>
      </w:r>
    </w:p>
    <w:p>
      <w:pPr>
        <w:widowControl/>
        <w:spacing w:line="320" w:lineRule="exact"/>
        <w:ind w:firstLine="1058" w:firstLineChars="504"/>
        <w:rPr>
          <w:rFonts w:ascii="Times New Roman" w:hAnsi="Times New Roman"/>
          <w:color w:val="333333"/>
          <w:kern w:val="0"/>
          <w:szCs w:val="21"/>
        </w:rPr>
      </w:pPr>
      <w:r>
        <w:rPr>
          <w:rFonts w:hint="eastAsia" w:ascii="仿宋_GB2312" w:hAnsi="Times New Roman" w:eastAsia="仿宋_GB2312"/>
          <w:color w:val="333333"/>
          <w:kern w:val="0"/>
          <w:szCs w:val="21"/>
        </w:rPr>
        <w:t>2.“行政裁决次数”、“行政确认次数”、“行政奖励次数”、“行政给付次数”以人次为单位统计（不可以批次为单位统计）。</w:t>
      </w:r>
    </w:p>
    <w:p>
      <w:pPr>
        <w:widowControl/>
        <w:spacing w:line="320" w:lineRule="exact"/>
        <w:ind w:firstLine="1050" w:firstLineChars="500"/>
        <w:rPr>
          <w:rFonts w:ascii="仿宋_GB2312" w:hAnsi="Times New Roman" w:eastAsia="仿宋_GB2312"/>
          <w:color w:val="333333"/>
          <w:kern w:val="0"/>
          <w:szCs w:val="21"/>
        </w:rPr>
      </w:pPr>
      <w:r>
        <w:rPr>
          <w:rFonts w:hint="eastAsia" w:ascii="仿宋_GB2312" w:hAnsi="Times New Roman" w:eastAsia="仿宋_GB2312"/>
          <w:color w:val="333333"/>
          <w:kern w:val="0"/>
          <w:szCs w:val="21"/>
        </w:rPr>
        <w:t>3.“其他行政执法行为”的统计范围为本年度1月1日至12月31日期间完成的宗数。</w:t>
      </w:r>
    </w:p>
    <w:p>
      <w:pPr>
        <w:widowControl/>
        <w:spacing w:line="380" w:lineRule="exact"/>
        <w:ind w:firstLine="482"/>
      </w:pPr>
    </w:p>
    <w:p>
      <w:bookmarkStart w:id="0" w:name="_GoBack"/>
      <w:bookmarkEnd w:id="0"/>
    </w:p>
    <w:sectPr>
      <w:pgSz w:w="16838" w:h="11906" w:orient="landscape"/>
      <w:pgMar w:top="1797" w:right="1440" w:bottom="1644"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10</w:t>
    </w:r>
    <w:r>
      <w:rPr>
        <w:rFonts w:ascii="Times New Roman" w:hAnsi="Times New Roman"/>
        <w:sz w:val="28"/>
        <w:szCs w:val="28"/>
      </w:rPr>
      <w:fldChar w:fldCharType="end"/>
    </w:r>
    <w:r>
      <w:rPr>
        <w:rFonts w:ascii="Times New Roman" w:hAnsi="Times New Roman"/>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C4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2022-01-19T07:10:17Z</dcterms:created>
  <dc:creator>Administrator</dc:creator>
  <cp:lastModifiedBy>WPS_1600911512</cp:lastModifiedBy>
  <dcterms:modified xsi:type="dcterms:W3CDTF">2022-01-19T07:19:39Z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DFBCEE7DB4EF46A08EE20DD2A6D3F6E0</vt:lpwstr>
  </property>
</Properties>
</file>