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ascii="新宋体" w:hAnsi="新宋体"/>
          <w:b/>
          <w:sz w:val="24"/>
          <w:szCs w:val="24"/>
        </w:rPr>
      </w:pPr>
    </w:p>
    <w:tbl>
      <w:tblPr>
        <w:tblStyle w:val="5"/>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14"/>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814" w:type="dxa"/>
          </w:tcPr>
          <w:p>
            <w:pPr>
              <w:widowControl w:val="0"/>
              <w:spacing w:line="740" w:lineRule="exact"/>
              <w:jc w:val="distribute"/>
              <w:rPr>
                <w:rFonts w:ascii="新宋体" w:hAnsi="新宋体" w:eastAsia="方正小标宋简体"/>
                <w:color w:val="FF0000"/>
                <w:w w:val="64"/>
                <w:sz w:val="66"/>
                <w:szCs w:val="66"/>
              </w:rPr>
            </w:pPr>
            <w:r>
              <w:rPr>
                <w:rFonts w:hint="eastAsia" w:ascii="新宋体" w:hAnsi="新宋体" w:eastAsia="方正小标宋简体"/>
                <w:color w:val="FF0000"/>
                <w:w w:val="64"/>
                <w:sz w:val="66"/>
                <w:szCs w:val="66"/>
              </w:rPr>
              <w:t>济南市钢城区民政局</w:t>
            </w:r>
          </w:p>
          <w:p>
            <w:pPr>
              <w:widowControl w:val="0"/>
              <w:spacing w:line="740" w:lineRule="exact"/>
              <w:jc w:val="distribute"/>
              <w:rPr>
                <w:rFonts w:ascii="新宋体" w:hAnsi="新宋体" w:eastAsia="方正小标宋简体"/>
                <w:color w:val="FF0000"/>
                <w:w w:val="64"/>
                <w:sz w:val="66"/>
                <w:szCs w:val="66"/>
              </w:rPr>
            </w:pPr>
            <w:r>
              <w:rPr>
                <w:rFonts w:hint="eastAsia" w:ascii="新宋体" w:hAnsi="新宋体" w:eastAsia="方正小标宋简体"/>
                <w:color w:val="FF0000"/>
                <w:w w:val="64"/>
                <w:sz w:val="66"/>
                <w:szCs w:val="66"/>
              </w:rPr>
              <w:t>济南市钢城区人民法院</w:t>
            </w:r>
          </w:p>
          <w:p>
            <w:pPr>
              <w:widowControl w:val="0"/>
              <w:spacing w:line="740" w:lineRule="exact"/>
              <w:jc w:val="distribute"/>
              <w:rPr>
                <w:rFonts w:ascii="新宋体" w:hAnsi="新宋体" w:eastAsia="方正小标宋简体"/>
                <w:color w:val="FF0000"/>
                <w:w w:val="64"/>
                <w:sz w:val="66"/>
                <w:szCs w:val="66"/>
              </w:rPr>
            </w:pPr>
            <w:r>
              <w:rPr>
                <w:rFonts w:hint="eastAsia" w:ascii="新宋体" w:hAnsi="新宋体" w:eastAsia="方正小标宋简体"/>
                <w:color w:val="FF0000"/>
                <w:w w:val="64"/>
                <w:sz w:val="66"/>
                <w:szCs w:val="66"/>
              </w:rPr>
              <w:t>济南市钢城区发展和改革局</w:t>
            </w:r>
          </w:p>
          <w:p>
            <w:pPr>
              <w:widowControl w:val="0"/>
              <w:spacing w:line="740" w:lineRule="exact"/>
              <w:jc w:val="distribute"/>
              <w:rPr>
                <w:rFonts w:ascii="新宋体" w:hAnsi="新宋体" w:eastAsia="方正小标宋简体"/>
                <w:color w:val="FF0000"/>
                <w:w w:val="64"/>
                <w:sz w:val="66"/>
                <w:szCs w:val="66"/>
              </w:rPr>
            </w:pPr>
            <w:r>
              <w:rPr>
                <w:rFonts w:hint="eastAsia" w:ascii="新宋体" w:hAnsi="新宋体" w:eastAsia="方正小标宋简体"/>
                <w:color w:val="FF0000"/>
                <w:w w:val="64"/>
                <w:sz w:val="66"/>
                <w:szCs w:val="66"/>
              </w:rPr>
              <w:t>济南市钢城区司法局</w:t>
            </w:r>
          </w:p>
          <w:p>
            <w:pPr>
              <w:widowControl w:val="0"/>
              <w:spacing w:line="740" w:lineRule="exact"/>
              <w:jc w:val="distribute"/>
              <w:rPr>
                <w:rFonts w:ascii="新宋体" w:hAnsi="新宋体" w:eastAsia="方正小标宋简体"/>
                <w:color w:val="FF0000"/>
                <w:w w:val="64"/>
                <w:sz w:val="66"/>
                <w:szCs w:val="66"/>
              </w:rPr>
            </w:pPr>
            <w:r>
              <w:rPr>
                <w:rFonts w:hint="eastAsia" w:ascii="新宋体" w:hAnsi="新宋体" w:eastAsia="方正小标宋简体"/>
                <w:color w:val="FF0000"/>
                <w:w w:val="64"/>
                <w:sz w:val="66"/>
                <w:szCs w:val="66"/>
              </w:rPr>
              <w:t>济南市钢城区财政局</w:t>
            </w:r>
          </w:p>
          <w:p>
            <w:pPr>
              <w:widowControl w:val="0"/>
              <w:spacing w:line="740" w:lineRule="exact"/>
              <w:jc w:val="distribute"/>
              <w:rPr>
                <w:rFonts w:ascii="新宋体" w:hAnsi="新宋体" w:eastAsia="方正小标宋简体"/>
                <w:color w:val="FF0000"/>
                <w:w w:val="64"/>
                <w:sz w:val="66"/>
                <w:szCs w:val="66"/>
              </w:rPr>
            </w:pPr>
            <w:r>
              <w:rPr>
                <w:rFonts w:hint="eastAsia" w:ascii="新宋体" w:hAnsi="新宋体" w:eastAsia="方正小标宋简体"/>
                <w:color w:val="FF0000"/>
                <w:w w:val="64"/>
                <w:sz w:val="66"/>
                <w:szCs w:val="66"/>
              </w:rPr>
              <w:t>济南市钢城区自然资源局</w:t>
            </w:r>
          </w:p>
          <w:p>
            <w:pPr>
              <w:widowControl w:val="0"/>
              <w:spacing w:line="740" w:lineRule="exact"/>
              <w:jc w:val="distribute"/>
              <w:rPr>
                <w:rFonts w:ascii="新宋体" w:hAnsi="新宋体" w:eastAsia="方正小标宋简体"/>
                <w:color w:val="FF0000"/>
                <w:w w:val="64"/>
                <w:sz w:val="66"/>
                <w:szCs w:val="66"/>
              </w:rPr>
            </w:pPr>
            <w:r>
              <w:rPr>
                <w:rFonts w:hint="eastAsia" w:ascii="新宋体" w:hAnsi="新宋体" w:eastAsia="方正小标宋简体"/>
                <w:color w:val="FF0000"/>
                <w:w w:val="64"/>
                <w:sz w:val="66"/>
                <w:szCs w:val="66"/>
              </w:rPr>
              <w:t>济南市钢城区住房和城乡建设局</w:t>
            </w:r>
          </w:p>
          <w:p>
            <w:pPr>
              <w:widowControl w:val="0"/>
              <w:spacing w:line="740" w:lineRule="exact"/>
              <w:jc w:val="distribute"/>
              <w:rPr>
                <w:rFonts w:ascii="新宋体" w:hAnsi="新宋体" w:eastAsia="方正小标宋简体"/>
                <w:color w:val="FF0000"/>
                <w:w w:val="64"/>
                <w:sz w:val="66"/>
                <w:szCs w:val="66"/>
              </w:rPr>
            </w:pPr>
            <w:r>
              <w:rPr>
                <w:rFonts w:hint="eastAsia" w:ascii="新宋体" w:hAnsi="新宋体" w:eastAsia="方正小标宋简体"/>
                <w:color w:val="FF0000"/>
                <w:w w:val="64"/>
                <w:sz w:val="66"/>
                <w:szCs w:val="66"/>
              </w:rPr>
              <w:t>济南市钢城区卫生健康局</w:t>
            </w:r>
          </w:p>
          <w:p>
            <w:pPr>
              <w:widowControl w:val="0"/>
              <w:spacing w:line="740" w:lineRule="exact"/>
              <w:jc w:val="distribute"/>
              <w:rPr>
                <w:rFonts w:ascii="新宋体" w:hAnsi="新宋体" w:eastAsia="方正小标宋简体"/>
                <w:color w:val="FF0000"/>
                <w:w w:val="64"/>
                <w:sz w:val="66"/>
                <w:szCs w:val="66"/>
              </w:rPr>
            </w:pPr>
            <w:r>
              <w:rPr>
                <w:rFonts w:hint="eastAsia" w:ascii="新宋体" w:hAnsi="新宋体" w:eastAsia="方正小标宋简体"/>
                <w:color w:val="FF0000"/>
                <w:w w:val="64"/>
                <w:sz w:val="66"/>
                <w:szCs w:val="66"/>
              </w:rPr>
              <w:t>济南市钢城区城乡交通运输局</w:t>
            </w:r>
          </w:p>
          <w:p>
            <w:pPr>
              <w:widowControl w:val="0"/>
              <w:spacing w:line="740" w:lineRule="exact"/>
              <w:jc w:val="distribute"/>
              <w:rPr>
                <w:rFonts w:ascii="新宋体" w:hAnsi="新宋体" w:eastAsia="方正小标宋简体"/>
                <w:color w:val="FF0000"/>
                <w:w w:val="64"/>
                <w:sz w:val="66"/>
                <w:szCs w:val="66"/>
              </w:rPr>
            </w:pPr>
            <w:r>
              <w:rPr>
                <w:rFonts w:hint="eastAsia" w:ascii="新宋体" w:hAnsi="新宋体" w:eastAsia="方正小标宋简体"/>
                <w:color w:val="FF0000"/>
                <w:w w:val="64"/>
                <w:sz w:val="66"/>
                <w:szCs w:val="66"/>
              </w:rPr>
              <w:t>济南市钢城区教育和体育局</w:t>
            </w:r>
          </w:p>
          <w:p>
            <w:pPr>
              <w:widowControl w:val="0"/>
              <w:spacing w:line="740" w:lineRule="exact"/>
              <w:jc w:val="distribute"/>
              <w:rPr>
                <w:rFonts w:ascii="新宋体" w:hAnsi="新宋体" w:eastAsia="方正小标宋简体"/>
                <w:color w:val="FF0000"/>
                <w:w w:val="64"/>
                <w:sz w:val="66"/>
                <w:szCs w:val="66"/>
              </w:rPr>
            </w:pPr>
            <w:r>
              <w:rPr>
                <w:rFonts w:hint="eastAsia" w:ascii="新宋体" w:hAnsi="新宋体" w:eastAsia="方正小标宋简体"/>
                <w:color w:val="FF0000"/>
                <w:w w:val="64"/>
                <w:sz w:val="66"/>
                <w:szCs w:val="66"/>
              </w:rPr>
              <w:t>济南市钢城区市场监督管理局</w:t>
            </w:r>
          </w:p>
          <w:p>
            <w:pPr>
              <w:widowControl w:val="0"/>
              <w:spacing w:line="740" w:lineRule="exact"/>
              <w:jc w:val="distribute"/>
              <w:rPr>
                <w:rFonts w:ascii="新宋体" w:hAnsi="新宋体"/>
                <w:color w:val="FF0000"/>
                <w:w w:val="64"/>
                <w:sz w:val="66"/>
                <w:szCs w:val="66"/>
              </w:rPr>
            </w:pPr>
            <w:r>
              <w:rPr>
                <w:rFonts w:hint="eastAsia" w:ascii="新宋体" w:hAnsi="新宋体" w:eastAsia="方正小标宋简体"/>
                <w:color w:val="FF0000"/>
                <w:w w:val="64"/>
                <w:sz w:val="66"/>
                <w:szCs w:val="66"/>
              </w:rPr>
              <w:t>国家税务总局济南市钢城区税务局</w:t>
            </w:r>
          </w:p>
        </w:tc>
        <w:tc>
          <w:tcPr>
            <w:tcW w:w="1691" w:type="dxa"/>
            <w:vAlign w:val="center"/>
          </w:tcPr>
          <w:p>
            <w:pPr>
              <w:widowControl w:val="0"/>
              <w:jc w:val="center"/>
              <w:rPr>
                <w:rFonts w:ascii="新宋体" w:hAnsi="新宋体" w:eastAsia="方正小标宋简体"/>
                <w:color w:val="FF0000"/>
                <w:w w:val="48"/>
                <w:sz w:val="144"/>
                <w:szCs w:val="144"/>
              </w:rPr>
            </w:pPr>
            <w:r>
              <w:rPr>
                <w:rFonts w:hint="eastAsia" w:ascii="新宋体" w:hAnsi="新宋体" w:eastAsia="方正小标宋简体"/>
                <w:color w:val="FF0000"/>
                <w:w w:val="48"/>
                <w:sz w:val="144"/>
                <w:szCs w:val="144"/>
              </w:rPr>
              <w:t>文件</w:t>
            </w:r>
          </w:p>
        </w:tc>
      </w:tr>
    </w:tbl>
    <w:p>
      <w:pPr>
        <w:spacing w:line="200" w:lineRule="exact"/>
        <w:rPr>
          <w:rFonts w:ascii="新宋体" w:hAnsi="新宋体"/>
          <w:b/>
          <w:sz w:val="24"/>
          <w:szCs w:val="24"/>
        </w:rPr>
      </w:pPr>
    </w:p>
    <w:p>
      <w:pPr>
        <w:spacing w:line="377" w:lineRule="exact"/>
        <w:rPr>
          <w:rFonts w:ascii="新宋体" w:hAnsi="新宋体"/>
          <w:b/>
          <w:sz w:val="24"/>
          <w:szCs w:val="24"/>
        </w:rPr>
      </w:pPr>
    </w:p>
    <w:p>
      <w:pPr>
        <w:jc w:val="center"/>
        <w:rPr>
          <w:rFonts w:hint="eastAsia" w:ascii="仿宋_GB2312" w:hAnsi="仿宋_GB2312" w:eastAsia="仿宋_GB2312" w:cs="仿宋_GB2312"/>
          <w:b w:val="0"/>
          <w:bCs/>
          <w:sz w:val="20"/>
          <w:szCs w:val="20"/>
        </w:rPr>
      </w:pPr>
      <w:r>
        <w:rPr>
          <w:rFonts w:hint="eastAsia" w:ascii="仿宋_GB2312" w:hAnsi="仿宋_GB2312" w:eastAsia="仿宋_GB2312" w:cs="仿宋_GB2312"/>
          <w:b w:val="0"/>
          <w:bCs/>
          <w:sz w:val="32"/>
          <w:szCs w:val="32"/>
        </w:rPr>
        <w:t>钢城民字〔2020〕</w:t>
      </w:r>
      <w:r>
        <w:rPr>
          <w:rFonts w:hint="eastAsia" w:ascii="仿宋_GB2312" w:hAnsi="仿宋_GB2312" w:eastAsia="仿宋_GB2312" w:cs="仿宋_GB2312"/>
          <w:b w:val="0"/>
          <w:bCs/>
          <w:sz w:val="32"/>
          <w:szCs w:val="32"/>
          <w:lang w:val="en-US" w:eastAsia="zh-CN"/>
        </w:rPr>
        <w:t>160</w:t>
      </w:r>
      <w:r>
        <w:rPr>
          <w:rFonts w:hint="eastAsia" w:ascii="仿宋_GB2312" w:hAnsi="仿宋_GB2312" w:eastAsia="仿宋_GB2312" w:cs="仿宋_GB2312"/>
          <w:b w:val="0"/>
          <w:bCs/>
          <w:sz w:val="32"/>
          <w:szCs w:val="32"/>
        </w:rPr>
        <w:t>号</w:t>
      </w:r>
    </w:p>
    <w:p>
      <w:pPr>
        <w:spacing w:line="200" w:lineRule="exact"/>
        <w:rPr>
          <w:rFonts w:ascii="新宋体" w:hAnsi="新宋体"/>
          <w:b/>
          <w:sz w:val="24"/>
          <w:szCs w:val="24"/>
        </w:rPr>
      </w:pPr>
      <w:r>
        <w:rPr>
          <w:rFonts w:ascii="新宋体" w:hAnsi="新宋体"/>
          <w:b/>
          <w:sz w:val="24"/>
          <w:szCs w:val="24"/>
        </w:rPr>
        <mc:AlternateContent>
          <mc:Choice Requires="wps">
            <w:drawing>
              <wp:anchor distT="0" distB="0" distL="114300" distR="114300" simplePos="0" relativeHeight="251659264" behindDoc="1" locked="0" layoutInCell="0" allowOverlap="1">
                <wp:simplePos x="0" y="0"/>
                <wp:positionH relativeFrom="column">
                  <wp:posOffset>-57785</wp:posOffset>
                </wp:positionH>
                <wp:positionV relativeFrom="paragraph">
                  <wp:posOffset>60325</wp:posOffset>
                </wp:positionV>
                <wp:extent cx="5615305" cy="0"/>
                <wp:effectExtent l="0" t="9525" r="8255" b="13335"/>
                <wp:wrapNone/>
                <wp:docPr id="1" name="Shape 1"/>
                <wp:cNvGraphicFramePr/>
                <a:graphic xmlns:a="http://schemas.openxmlformats.org/drawingml/2006/main">
                  <a:graphicData uri="http://schemas.microsoft.com/office/word/2010/wordprocessingShape">
                    <wps:wsp>
                      <wps:cNvCnPr/>
                      <wps:spPr>
                        <a:xfrm>
                          <a:off x="0" y="0"/>
                          <a:ext cx="5615305" cy="0"/>
                        </a:xfrm>
                        <a:prstGeom prst="line">
                          <a:avLst/>
                        </a:prstGeom>
                        <a:ln w="19050" cap="flat" cmpd="sng">
                          <a:solidFill>
                            <a:srgbClr val="FC0311"/>
                          </a:solidFill>
                          <a:prstDash val="solid"/>
                          <a:miter/>
                          <a:headEnd type="none" w="med" len="med"/>
                          <a:tailEnd type="none" w="med" len="med"/>
                        </a:ln>
                      </wps:spPr>
                      <wps:bodyPr upright="1"/>
                    </wps:wsp>
                  </a:graphicData>
                </a:graphic>
              </wp:anchor>
            </w:drawing>
          </mc:Choice>
          <mc:Fallback>
            <w:pict>
              <v:line id="Shape 1" o:spid="_x0000_s1026" o:spt="20" style="position:absolute;left:0pt;margin-left:-4.55pt;margin-top:4.75pt;height:0pt;width:442.15pt;z-index:-251657216;mso-width-relative:page;mso-height-relative:page;" filled="f" stroked="t" coordsize="21600,21600" o:allowincell="f" o:gfxdata="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19stEAAAAGAQAADwAAAAAA&#10;AAABACAAAAAiAAAAZHJzL2Rvd25yZXYueG1sUEsBAhQAFAAAAAgAh07iQDlE+kHhAQAA5QMAAA4A&#10;AAAAAAAAAQAgAAAAIAEAAGRycy9lMm9Eb2MueG1sUEsFBgAAAAAGAAYAWQEAAHMFAAAAAA==&#10;">
                <v:fill on="f" focussize="0,0"/>
                <v:stroke weight="1.5pt" color="#FC0311" joinstyle="miter"/>
                <v:imagedata o:title=""/>
                <o:lock v:ext="edit" aspectratio="f"/>
              </v:line>
            </w:pict>
          </mc:Fallback>
        </mc:AlternateContent>
      </w:r>
    </w:p>
    <w:p>
      <w:pPr>
        <w:spacing w:line="600" w:lineRule="exact"/>
        <w:rPr>
          <w:rFonts w:ascii="新宋体" w:hAnsi="新宋体"/>
          <w:b/>
          <w:sz w:val="24"/>
          <w:szCs w:val="24"/>
        </w:rPr>
      </w:pPr>
    </w:p>
    <w:p>
      <w:pPr>
        <w:widowControl w:val="0"/>
        <w:overflowPunct w:val="0"/>
        <w:autoSpaceDE w:val="0"/>
        <w:autoSpaceDN w:val="0"/>
        <w:spacing w:line="616" w:lineRule="exact"/>
        <w:jc w:val="center"/>
        <w:rPr>
          <w:rFonts w:ascii="新宋体" w:hAnsi="新宋体"/>
          <w:b w:val="0"/>
          <w:bCs/>
          <w:w w:val="90"/>
          <w:sz w:val="44"/>
          <w:szCs w:val="44"/>
        </w:rPr>
      </w:pPr>
      <w:r>
        <w:rPr>
          <w:rFonts w:ascii="新宋体" w:hAnsi="新宋体" w:eastAsia="方正小标宋简体" w:cs="方正小标宋简体"/>
          <w:b w:val="0"/>
          <w:bCs/>
          <w:w w:val="90"/>
          <w:sz w:val="44"/>
          <w:szCs w:val="44"/>
        </w:rPr>
        <w:t>关于发布</w:t>
      </w:r>
      <w:r>
        <w:rPr>
          <w:rFonts w:hint="eastAsia" w:ascii="新宋体" w:hAnsi="新宋体" w:eastAsia="方正小标宋简体" w:cs="方正小标宋简体"/>
          <w:b w:val="0"/>
          <w:bCs/>
          <w:w w:val="90"/>
          <w:sz w:val="44"/>
          <w:szCs w:val="44"/>
        </w:rPr>
        <w:t>钢城区</w:t>
      </w:r>
      <w:r>
        <w:rPr>
          <w:rFonts w:ascii="新宋体" w:hAnsi="新宋体" w:eastAsia="方正小标宋简体" w:cs="方正小标宋简体"/>
          <w:b w:val="0"/>
          <w:bCs/>
          <w:w w:val="90"/>
          <w:sz w:val="44"/>
          <w:szCs w:val="44"/>
        </w:rPr>
        <w:t>基本养老公共服务清单的通知</w:t>
      </w:r>
    </w:p>
    <w:p>
      <w:pPr>
        <w:widowControl w:val="0"/>
        <w:overflowPunct w:val="0"/>
        <w:autoSpaceDE w:val="0"/>
        <w:autoSpaceDN w:val="0"/>
        <w:spacing w:line="616" w:lineRule="exact"/>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各街道办事处、功能区：</w:t>
      </w:r>
    </w:p>
    <w:p>
      <w:pPr>
        <w:widowControl w:val="0"/>
        <w:overflowPunct w:val="0"/>
        <w:autoSpaceDE w:val="0"/>
        <w:autoSpaceDN w:val="0"/>
        <w:spacing w:line="616" w:lineRule="exact"/>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根据《山东省人民政府办公厅关于推进养老服务发展的实施意见》（鲁政办发〔2019〕31号）和《济南市人民政府办公厅关</w:t>
      </w:r>
      <w:bookmarkStart w:id="0" w:name="page2"/>
      <w:bookmarkEnd w:id="0"/>
      <w:r>
        <w:rPr>
          <w:rFonts w:hint="eastAsia" w:ascii="仿宋_GB2312" w:hAnsi="仿宋_GB2312" w:eastAsia="仿宋_GB2312" w:cs="仿宋_GB2312"/>
          <w:b w:val="0"/>
          <w:bCs/>
          <w:sz w:val="32"/>
          <w:szCs w:val="32"/>
        </w:rPr>
        <w:t>于加快推进养老服务发展的实施意见》（济政办发〔2020〕7号）文件要求，对照市级发布的服务清单，并结合我区现有政策规定，区有关部门联合制定了《钢城区基本养老公共服务清单》，现予发布。养老公共服务清单实施动态调整长效机制，请各街镇、功能区按照清单内容抓好落实，进一步优化服务流程，提高服务效率，确保清单服务项目落实到位，切实提高基本养老公共服务供给水平，不断提升老年人的获得感和幸福感。</w:t>
      </w:r>
    </w:p>
    <w:p>
      <w:pPr>
        <w:widowControl w:val="0"/>
        <w:overflowPunct w:val="0"/>
        <w:autoSpaceDE w:val="0"/>
        <w:autoSpaceDN w:val="0"/>
        <w:spacing w:line="616" w:lineRule="exact"/>
        <w:rPr>
          <w:rFonts w:hint="eastAsia" w:ascii="仿宋_GB2312" w:hAnsi="仿宋_GB2312" w:eastAsia="仿宋_GB2312" w:cs="仿宋_GB2312"/>
          <w:b w:val="0"/>
          <w:bCs/>
          <w:sz w:val="32"/>
          <w:szCs w:val="32"/>
        </w:rPr>
      </w:pPr>
    </w:p>
    <w:p>
      <w:pPr>
        <w:widowControl w:val="0"/>
        <w:overflowPunct w:val="0"/>
        <w:autoSpaceDE w:val="0"/>
        <w:autoSpaceDN w:val="0"/>
        <w:spacing w:line="616" w:lineRule="exact"/>
        <w:ind w:left="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附件：钢城区基本养老公共服务清单</w:t>
      </w:r>
    </w:p>
    <w:p>
      <w:pPr>
        <w:widowControl w:val="0"/>
        <w:overflowPunct w:val="0"/>
        <w:autoSpaceDE w:val="0"/>
        <w:autoSpaceDN w:val="0"/>
        <w:spacing w:line="616" w:lineRule="exact"/>
        <w:rPr>
          <w:rFonts w:hint="eastAsia" w:ascii="仿宋_GB2312" w:hAnsi="仿宋_GB2312" w:eastAsia="仿宋_GB2312" w:cs="仿宋_GB2312"/>
          <w:b w:val="0"/>
          <w:bCs/>
          <w:sz w:val="20"/>
          <w:szCs w:val="20"/>
        </w:rPr>
      </w:pPr>
    </w:p>
    <w:p>
      <w:pPr>
        <w:widowControl w:val="0"/>
        <w:overflowPunct w:val="0"/>
        <w:autoSpaceDE w:val="0"/>
        <w:autoSpaceDN w:val="0"/>
        <w:spacing w:line="616" w:lineRule="exact"/>
        <w:rPr>
          <w:rFonts w:hint="eastAsia" w:ascii="仿宋_GB2312" w:hAnsi="仿宋_GB2312" w:eastAsia="仿宋_GB2312" w:cs="仿宋_GB2312"/>
          <w:b w:val="0"/>
          <w:bCs/>
          <w:sz w:val="20"/>
          <w:szCs w:val="20"/>
        </w:rPr>
      </w:pPr>
    </w:p>
    <w:p>
      <w:pPr>
        <w:widowControl w:val="0"/>
        <w:overflowPunct w:val="0"/>
        <w:autoSpaceDE w:val="0"/>
        <w:autoSpaceDN w:val="0"/>
        <w:spacing w:line="616"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济南市钢城区       济南市钢城区       济南市钢城区</w:t>
      </w:r>
    </w:p>
    <w:p>
      <w:pPr>
        <w:widowControl w:val="0"/>
        <w:overflowPunct w:val="0"/>
        <w:autoSpaceDE w:val="0"/>
        <w:autoSpaceDN w:val="0"/>
        <w:spacing w:line="616"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民政局             人民法院           发展和改革局</w:t>
      </w:r>
    </w:p>
    <w:p>
      <w:pPr>
        <w:widowControl w:val="0"/>
        <w:overflowPunct w:val="0"/>
        <w:autoSpaceDE w:val="0"/>
        <w:autoSpaceDN w:val="0"/>
        <w:spacing w:line="616" w:lineRule="exact"/>
        <w:rPr>
          <w:rFonts w:hint="eastAsia" w:ascii="仿宋_GB2312" w:hAnsi="仿宋_GB2312" w:eastAsia="仿宋_GB2312" w:cs="仿宋_GB2312"/>
          <w:b w:val="0"/>
          <w:bCs/>
          <w:sz w:val="32"/>
          <w:szCs w:val="32"/>
        </w:rPr>
      </w:pPr>
      <w:bookmarkStart w:id="1" w:name="page3"/>
      <w:bookmarkEnd w:id="1"/>
    </w:p>
    <w:p>
      <w:pPr>
        <w:widowControl w:val="0"/>
        <w:tabs>
          <w:tab w:val="left" w:pos="3300"/>
        </w:tabs>
        <w:overflowPunct w:val="0"/>
        <w:autoSpaceDE w:val="0"/>
        <w:autoSpaceDN w:val="0"/>
        <w:spacing w:line="616" w:lineRule="exact"/>
        <w:ind w:left="6746" w:hanging="6720" w:hangingChars="21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济南市钢城区       济南市钢城区       济南市钢城区</w:t>
      </w:r>
    </w:p>
    <w:p>
      <w:pPr>
        <w:widowControl w:val="0"/>
        <w:tabs>
          <w:tab w:val="left" w:pos="3300"/>
        </w:tabs>
        <w:overflowPunct w:val="0"/>
        <w:autoSpaceDE w:val="0"/>
        <w:autoSpaceDN w:val="0"/>
        <w:spacing w:line="616"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司法局             财政局    </w:t>
      </w:r>
      <w:r>
        <w:rPr>
          <w:rFonts w:hint="eastAsia" w:ascii="仿宋_GB2312" w:hAnsi="仿宋_GB2312" w:eastAsia="仿宋_GB2312" w:cs="仿宋_GB2312"/>
          <w:b w:val="0"/>
          <w:bCs/>
          <w:spacing w:val="4"/>
          <w:sz w:val="32"/>
          <w:szCs w:val="32"/>
        </w:rPr>
        <w:t xml:space="preserve">       </w:t>
      </w:r>
      <w:r>
        <w:rPr>
          <w:rFonts w:hint="eastAsia" w:ascii="仿宋_GB2312" w:hAnsi="仿宋_GB2312" w:eastAsia="仿宋_GB2312" w:cs="仿宋_GB2312"/>
          <w:b w:val="0"/>
          <w:bCs/>
          <w:sz w:val="32"/>
          <w:szCs w:val="32"/>
        </w:rPr>
        <w:t xml:space="preserve">  自然资源局</w:t>
      </w:r>
    </w:p>
    <w:p>
      <w:pPr>
        <w:widowControl w:val="0"/>
        <w:overflowPunct w:val="0"/>
        <w:autoSpaceDE w:val="0"/>
        <w:autoSpaceDN w:val="0"/>
        <w:spacing w:line="616" w:lineRule="exact"/>
        <w:rPr>
          <w:rFonts w:hint="eastAsia" w:ascii="仿宋_GB2312" w:hAnsi="仿宋_GB2312" w:eastAsia="仿宋_GB2312" w:cs="仿宋_GB2312"/>
          <w:b w:val="0"/>
          <w:bCs/>
          <w:sz w:val="32"/>
          <w:szCs w:val="32"/>
        </w:rPr>
      </w:pPr>
    </w:p>
    <w:p>
      <w:pPr>
        <w:widowControl w:val="0"/>
        <w:overflowPunct w:val="0"/>
        <w:autoSpaceDE w:val="0"/>
        <w:autoSpaceDN w:val="0"/>
        <w:spacing w:line="616" w:lineRule="exact"/>
        <w:rPr>
          <w:rFonts w:hint="eastAsia" w:ascii="仿宋_GB2312" w:hAnsi="仿宋_GB2312" w:eastAsia="仿宋_GB2312" w:cs="仿宋_GB2312"/>
          <w:b w:val="0"/>
          <w:bCs/>
          <w:sz w:val="32"/>
          <w:szCs w:val="32"/>
        </w:rPr>
      </w:pPr>
    </w:p>
    <w:p>
      <w:pPr>
        <w:widowControl w:val="0"/>
        <w:tabs>
          <w:tab w:val="left" w:pos="3140"/>
          <w:tab w:val="left" w:pos="6140"/>
        </w:tabs>
        <w:overflowPunct w:val="0"/>
        <w:autoSpaceDE w:val="0"/>
        <w:autoSpaceDN w:val="0"/>
        <w:spacing w:line="616"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济南市钢城区       济南市钢城区       </w:t>
      </w:r>
      <w:r>
        <w:rPr>
          <w:rFonts w:hint="eastAsia" w:ascii="仿宋_GB2312" w:hAnsi="仿宋_GB2312" w:eastAsia="仿宋_GB2312" w:cs="仿宋_GB2312"/>
          <w:b w:val="0"/>
          <w:bCs/>
          <w:w w:val="90"/>
          <w:sz w:val="32"/>
          <w:szCs w:val="32"/>
        </w:rPr>
        <w:t>济南市钢城区</w:t>
      </w:r>
    </w:p>
    <w:p>
      <w:pPr>
        <w:widowControl w:val="0"/>
        <w:tabs>
          <w:tab w:val="left" w:pos="3140"/>
          <w:tab w:val="left" w:pos="6140"/>
        </w:tabs>
        <w:overflowPunct w:val="0"/>
        <w:autoSpaceDE w:val="0"/>
        <w:autoSpaceDN w:val="0"/>
        <w:spacing w:line="616" w:lineRule="exact"/>
        <w:rPr>
          <w:rFonts w:hint="eastAsia" w:ascii="仿宋_GB2312" w:hAnsi="仿宋_GB2312" w:eastAsia="仿宋_GB2312" w:cs="仿宋_GB2312"/>
          <w:b w:val="0"/>
          <w:bCs/>
          <w:w w:val="90"/>
          <w:sz w:val="32"/>
          <w:szCs w:val="32"/>
        </w:rPr>
      </w:pPr>
      <w:r>
        <w:rPr>
          <w:rFonts w:hint="eastAsia" w:ascii="仿宋_GB2312" w:hAnsi="仿宋_GB2312" w:eastAsia="仿宋_GB2312" w:cs="仿宋_GB2312"/>
          <w:b w:val="0"/>
          <w:bCs/>
          <w:sz w:val="32"/>
          <w:szCs w:val="32"/>
        </w:rPr>
        <w:t xml:space="preserve">住房和城乡建设局   卫生健康局         </w:t>
      </w:r>
      <w:r>
        <w:rPr>
          <w:rFonts w:hint="eastAsia" w:ascii="仿宋_GB2312" w:hAnsi="仿宋_GB2312" w:eastAsia="仿宋_GB2312" w:cs="仿宋_GB2312"/>
          <w:b w:val="0"/>
          <w:bCs/>
          <w:w w:val="90"/>
          <w:sz w:val="32"/>
          <w:szCs w:val="32"/>
        </w:rPr>
        <w:t>城乡交通运输局</w:t>
      </w:r>
    </w:p>
    <w:p>
      <w:pPr>
        <w:widowControl w:val="0"/>
        <w:tabs>
          <w:tab w:val="left" w:pos="5980"/>
        </w:tabs>
        <w:overflowPunct w:val="0"/>
        <w:autoSpaceDE w:val="0"/>
        <w:autoSpaceDN w:val="0"/>
        <w:spacing w:line="616" w:lineRule="exact"/>
        <w:ind w:left="2891" w:hanging="2880" w:hangingChars="900"/>
        <w:rPr>
          <w:rFonts w:hint="eastAsia" w:ascii="仿宋_GB2312" w:hAnsi="仿宋_GB2312" w:eastAsia="仿宋_GB2312" w:cs="仿宋_GB2312"/>
          <w:b w:val="0"/>
          <w:bCs/>
          <w:sz w:val="32"/>
          <w:szCs w:val="32"/>
        </w:rPr>
      </w:pPr>
    </w:p>
    <w:p>
      <w:pPr>
        <w:widowControl w:val="0"/>
        <w:tabs>
          <w:tab w:val="left" w:pos="5980"/>
        </w:tabs>
        <w:overflowPunct w:val="0"/>
        <w:autoSpaceDE w:val="0"/>
        <w:autoSpaceDN w:val="0"/>
        <w:spacing w:line="616" w:lineRule="exact"/>
        <w:ind w:left="2891" w:hanging="2880" w:hangingChars="900"/>
        <w:rPr>
          <w:rFonts w:hint="eastAsia" w:ascii="仿宋_GB2312" w:hAnsi="仿宋_GB2312" w:eastAsia="仿宋_GB2312" w:cs="仿宋_GB2312"/>
          <w:b w:val="0"/>
          <w:bCs/>
          <w:sz w:val="32"/>
          <w:szCs w:val="32"/>
        </w:rPr>
      </w:pPr>
    </w:p>
    <w:p>
      <w:pPr>
        <w:widowControl w:val="0"/>
        <w:tabs>
          <w:tab w:val="left" w:pos="5980"/>
        </w:tabs>
        <w:overflowPunct w:val="0"/>
        <w:autoSpaceDE w:val="0"/>
        <w:autoSpaceDN w:val="0"/>
        <w:spacing w:line="616" w:lineRule="exact"/>
        <w:ind w:left="2891" w:hanging="2880" w:hangingChars="9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济南市钢城区       济南市钢城区       </w:t>
      </w:r>
      <w:r>
        <w:rPr>
          <w:rFonts w:hint="eastAsia" w:ascii="仿宋_GB2312" w:hAnsi="仿宋_GB2312" w:eastAsia="仿宋_GB2312" w:cs="仿宋_GB2312"/>
          <w:b w:val="0"/>
          <w:bCs/>
          <w:sz w:val="32"/>
          <w:szCs w:val="32"/>
        </w:rPr>
        <w:t>国家税务总局</w:t>
      </w:r>
    </w:p>
    <w:p>
      <w:pPr>
        <w:widowControl w:val="0"/>
        <w:tabs>
          <w:tab w:val="left" w:pos="5980"/>
        </w:tabs>
        <w:overflowPunct w:val="0"/>
        <w:autoSpaceDE w:val="0"/>
        <w:autoSpaceDN w:val="0"/>
        <w:spacing w:line="616" w:lineRule="exact"/>
        <w:ind w:left="2891" w:hanging="2880" w:hangingChars="9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教育和体育局       市场监督管理局    济南市钢城区税务局</w:t>
      </w:r>
    </w:p>
    <w:p>
      <w:pPr>
        <w:widowControl w:val="0"/>
        <w:tabs>
          <w:tab w:val="left" w:pos="6760"/>
        </w:tabs>
        <w:overflowPunct w:val="0"/>
        <w:autoSpaceDE w:val="0"/>
        <w:autoSpaceDN w:val="0"/>
        <w:spacing w:line="616" w:lineRule="exact"/>
        <w:ind w:left="3780" w:firstLine="320" w:firstLineChars="100"/>
        <w:rPr>
          <w:rFonts w:hint="eastAsia" w:ascii="仿宋_GB2312" w:hAnsi="仿宋_GB2312" w:eastAsia="仿宋_GB2312" w:cs="仿宋_GB2312"/>
          <w:b w:val="0"/>
          <w:bCs/>
          <w:sz w:val="32"/>
          <w:szCs w:val="32"/>
        </w:rPr>
      </w:pPr>
    </w:p>
    <w:p>
      <w:pPr>
        <w:widowControl w:val="0"/>
        <w:overflowPunct w:val="0"/>
        <w:autoSpaceDE w:val="0"/>
        <w:autoSpaceDN w:val="0"/>
        <w:spacing w:line="616" w:lineRule="exact"/>
        <w:ind w:firstLine="5580" w:firstLineChars="1800"/>
        <w:rPr>
          <w:rFonts w:hint="eastAsia" w:ascii="仿宋_GB2312" w:hAnsi="仿宋_GB2312" w:eastAsia="仿宋_GB2312" w:cs="仿宋_GB2312"/>
          <w:b w:val="0"/>
          <w:bCs/>
          <w:sz w:val="31"/>
          <w:szCs w:val="31"/>
        </w:rPr>
      </w:pPr>
    </w:p>
    <w:p>
      <w:pPr>
        <w:widowControl w:val="0"/>
        <w:wordWrap w:val="0"/>
        <w:overflowPunct w:val="0"/>
        <w:autoSpaceDE w:val="0"/>
        <w:autoSpaceDN w:val="0"/>
        <w:spacing w:line="616" w:lineRule="exact"/>
        <w:ind w:firstLine="5580" w:firstLineChars="1800"/>
        <w:jc w:val="right"/>
        <w:rPr>
          <w:rFonts w:hint="eastAsia" w:ascii="仿宋_GB2312" w:hAnsi="仿宋_GB2312" w:eastAsia="仿宋_GB2312" w:cs="仿宋_GB2312"/>
          <w:b w:val="0"/>
          <w:bCs/>
          <w:sz w:val="20"/>
          <w:szCs w:val="20"/>
        </w:rPr>
      </w:pPr>
      <w:r>
        <w:rPr>
          <w:rFonts w:hint="eastAsia" w:ascii="仿宋_GB2312" w:hAnsi="仿宋_GB2312" w:eastAsia="仿宋_GB2312" w:cs="仿宋_GB2312"/>
          <w:b w:val="0"/>
          <w:bCs/>
          <w:sz w:val="31"/>
          <w:szCs w:val="31"/>
        </w:rPr>
        <w:t xml:space="preserve">2020年11月24日    </w:t>
      </w:r>
    </w:p>
    <w:p>
      <w:pPr>
        <w:widowControl w:val="0"/>
        <w:overflowPunct w:val="0"/>
        <w:autoSpaceDE w:val="0"/>
        <w:autoSpaceDN w:val="0"/>
        <w:spacing w:line="200" w:lineRule="exact"/>
        <w:rPr>
          <w:rFonts w:hint="eastAsia" w:ascii="仿宋_GB2312" w:hAnsi="仿宋_GB2312" w:eastAsia="仿宋_GB2312" w:cs="仿宋_GB2312"/>
          <w:b w:val="0"/>
          <w:bCs/>
          <w:sz w:val="20"/>
          <w:szCs w:val="20"/>
        </w:rPr>
      </w:pPr>
    </w:p>
    <w:p>
      <w:pPr>
        <w:widowControl w:val="0"/>
        <w:overflowPunct w:val="0"/>
        <w:autoSpaceDE w:val="0"/>
        <w:autoSpaceDN w:val="0"/>
        <w:spacing w:line="200" w:lineRule="exact"/>
        <w:rPr>
          <w:rFonts w:ascii="新宋体" w:hAnsi="新宋体" w:eastAsia="方正仿宋简体"/>
          <w:b/>
          <w:sz w:val="20"/>
          <w:szCs w:val="20"/>
        </w:rPr>
      </w:pPr>
    </w:p>
    <w:p>
      <w:pPr>
        <w:widowControl w:val="0"/>
        <w:overflowPunct w:val="0"/>
        <w:autoSpaceDE w:val="0"/>
        <w:autoSpaceDN w:val="0"/>
        <w:spacing w:line="200" w:lineRule="exact"/>
        <w:rPr>
          <w:rFonts w:ascii="新宋体" w:hAnsi="新宋体" w:eastAsia="方正仿宋简体"/>
          <w:b/>
          <w:sz w:val="20"/>
          <w:szCs w:val="20"/>
        </w:rPr>
      </w:pPr>
    </w:p>
    <w:p>
      <w:pPr>
        <w:widowControl w:val="0"/>
        <w:overflowPunct w:val="0"/>
        <w:autoSpaceDE w:val="0"/>
        <w:autoSpaceDN w:val="0"/>
        <w:rPr>
          <w:rFonts w:ascii="新宋体" w:hAnsi="新宋体"/>
          <w:b/>
        </w:rPr>
      </w:pPr>
    </w:p>
    <w:p>
      <w:pPr>
        <w:widowControl w:val="0"/>
        <w:overflowPunct w:val="0"/>
        <w:autoSpaceDE w:val="0"/>
        <w:autoSpaceDN w:val="0"/>
        <w:rPr>
          <w:rFonts w:ascii="新宋体" w:hAnsi="新宋体"/>
          <w:b/>
        </w:rPr>
      </w:pPr>
    </w:p>
    <w:p>
      <w:pPr>
        <w:widowControl w:val="0"/>
        <w:overflowPunct w:val="0"/>
        <w:autoSpaceDE w:val="0"/>
        <w:autoSpaceDN w:val="0"/>
        <w:rPr>
          <w:rFonts w:ascii="新宋体" w:hAnsi="新宋体"/>
          <w:b/>
        </w:rPr>
      </w:pPr>
    </w:p>
    <w:p>
      <w:pPr>
        <w:widowControl w:val="0"/>
        <w:overflowPunct w:val="0"/>
        <w:autoSpaceDE w:val="0"/>
        <w:autoSpaceDN w:val="0"/>
        <w:rPr>
          <w:rFonts w:ascii="新宋体" w:hAnsi="新宋体"/>
          <w:b/>
        </w:rPr>
      </w:pPr>
    </w:p>
    <w:p>
      <w:pPr>
        <w:widowControl w:val="0"/>
        <w:overflowPunct w:val="0"/>
        <w:autoSpaceDE w:val="0"/>
        <w:autoSpaceDN w:val="0"/>
        <w:rPr>
          <w:rFonts w:ascii="新宋体" w:hAnsi="新宋体"/>
          <w:b/>
        </w:rPr>
      </w:pPr>
    </w:p>
    <w:p>
      <w:pPr>
        <w:widowControl w:val="0"/>
        <w:overflowPunct w:val="0"/>
        <w:autoSpaceDE w:val="0"/>
        <w:autoSpaceDN w:val="0"/>
        <w:rPr>
          <w:rFonts w:ascii="新宋体" w:hAnsi="新宋体"/>
          <w:b/>
        </w:rPr>
      </w:pPr>
    </w:p>
    <w:p>
      <w:pPr>
        <w:widowControl w:val="0"/>
        <w:overflowPunct w:val="0"/>
        <w:autoSpaceDE w:val="0"/>
        <w:autoSpaceDN w:val="0"/>
        <w:rPr>
          <w:rFonts w:ascii="新宋体" w:hAnsi="新宋体"/>
          <w:b/>
        </w:rPr>
      </w:pPr>
    </w:p>
    <w:p>
      <w:pPr>
        <w:rPr>
          <w:rFonts w:ascii="新宋体" w:hAnsi="新宋体"/>
          <w:b/>
        </w:rPr>
        <w:sectPr>
          <w:footerReference r:id="rId3" w:type="default"/>
          <w:pgSz w:w="11900" w:h="16840"/>
          <w:pgMar w:top="1531" w:right="1531" w:bottom="1531" w:left="1531" w:header="851" w:footer="1418" w:gutter="0"/>
          <w:cols w:equalWidth="0" w:num="1">
            <w:col w:w="8660"/>
          </w:cols>
        </w:sectPr>
      </w:pPr>
    </w:p>
    <w:p>
      <w:pPr>
        <w:rPr>
          <w:rFonts w:ascii="新宋体" w:hAnsi="新宋体"/>
          <w:b/>
          <w:sz w:val="20"/>
          <w:szCs w:val="20"/>
        </w:rPr>
      </w:pPr>
      <w:bookmarkStart w:id="2" w:name="page4"/>
      <w:bookmarkEnd w:id="2"/>
      <w:r>
        <w:rPr>
          <w:rFonts w:ascii="新宋体" w:hAnsi="新宋体" w:eastAsia="黑体" w:cs="黑体"/>
          <w:b/>
          <w:sz w:val="32"/>
          <w:szCs w:val="32"/>
        </w:rPr>
        <w:t>附件</w:t>
      </w:r>
    </w:p>
    <w:p>
      <w:pPr>
        <w:ind w:left="4200"/>
        <w:rPr>
          <w:rFonts w:ascii="新宋体" w:hAnsi="新宋体" w:eastAsia="宋体" w:cs="宋体"/>
          <w:b/>
          <w:sz w:val="18"/>
          <w:szCs w:val="18"/>
        </w:rPr>
      </w:pPr>
      <w:r>
        <w:rPr>
          <w:rFonts w:hint="eastAsia" w:ascii="新宋体" w:hAnsi="新宋体" w:eastAsia="方正小标宋简体" w:cs="方正小标宋简体"/>
          <w:b/>
          <w:sz w:val="44"/>
          <w:szCs w:val="44"/>
        </w:rPr>
        <w:t>钢城区</w:t>
      </w:r>
      <w:r>
        <w:rPr>
          <w:rFonts w:ascii="新宋体" w:hAnsi="新宋体" w:eastAsia="方正小标宋简体" w:cs="方正小标宋简体"/>
          <w:b/>
          <w:sz w:val="44"/>
          <w:szCs w:val="44"/>
        </w:rPr>
        <w:t>基本养老公共服务清单</w:t>
      </w:r>
    </w:p>
    <w:p>
      <w:pPr>
        <w:spacing w:line="200" w:lineRule="exact"/>
        <w:rPr>
          <w:rFonts w:ascii="新宋体" w:hAnsi="新宋体"/>
          <w:b/>
          <w:sz w:val="20"/>
          <w:szCs w:val="20"/>
        </w:rPr>
      </w:pPr>
    </w:p>
    <w:tbl>
      <w:tblPr>
        <w:tblStyle w:val="4"/>
        <w:tblW w:w="1360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35"/>
        <w:gridCol w:w="793"/>
        <w:gridCol w:w="1182"/>
        <w:gridCol w:w="1551"/>
        <w:gridCol w:w="3614"/>
        <w:gridCol w:w="1596"/>
        <w:gridCol w:w="433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序号</w:t>
            </w:r>
          </w:p>
        </w:tc>
        <w:tc>
          <w:tcPr>
            <w:tcW w:w="793"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类别</w:t>
            </w:r>
          </w:p>
        </w:tc>
        <w:tc>
          <w:tcPr>
            <w:tcW w:w="1182"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服务项目</w:t>
            </w:r>
          </w:p>
        </w:tc>
        <w:tc>
          <w:tcPr>
            <w:tcW w:w="1551"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服务对象</w:t>
            </w:r>
          </w:p>
        </w:tc>
        <w:tc>
          <w:tcPr>
            <w:tcW w:w="3614"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服务内容及标准</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责任主体</w:t>
            </w:r>
          </w:p>
        </w:tc>
        <w:tc>
          <w:tcPr>
            <w:tcW w:w="4337"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政策依据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44"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1</w:t>
            </w:r>
          </w:p>
        </w:tc>
        <w:tc>
          <w:tcPr>
            <w:tcW w:w="793" w:type="dxa"/>
            <w:vMerge w:val="restart"/>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特困老年人兜底保障项目</w:t>
            </w:r>
          </w:p>
        </w:tc>
        <w:tc>
          <w:tcPr>
            <w:tcW w:w="1182"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特困老年人</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供养标准</w:t>
            </w:r>
          </w:p>
        </w:tc>
        <w:tc>
          <w:tcPr>
            <w:tcW w:w="1551" w:type="dxa"/>
            <w:vMerge w:val="restart"/>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无劳动能力、无生活来源、无法定赡养抚养义务人，或其法定赡养抚养义务人无履行义务能力的老年人</w:t>
            </w:r>
          </w:p>
        </w:tc>
        <w:tc>
          <w:tcPr>
            <w:tcW w:w="3614" w:type="dxa"/>
            <w:shd w:val="clear" w:color="auto" w:fill="auto"/>
            <w:tcMar>
              <w:top w:w="15" w:type="dxa"/>
              <w:left w:w="15" w:type="dxa"/>
              <w:right w:w="15" w:type="dxa"/>
            </w:tcMar>
            <w:vAlign w:val="center"/>
          </w:tcPr>
          <w:p>
            <w:pPr>
              <w:ind w:firstLine="361" w:firstLineChars="200"/>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城市特困人员基本生活标准为1232元/月。农村特困人员基本生活标准为不低于1071 元/月。</w:t>
            </w:r>
            <w:r>
              <w:rPr>
                <w:rFonts w:hint="eastAsia" w:ascii="新宋体" w:hAnsi="新宋体" w:eastAsia="宋体" w:cs="宋体"/>
                <w:b/>
                <w:color w:val="000000"/>
                <w:sz w:val="18"/>
                <w:szCs w:val="18"/>
              </w:rPr>
              <w:br w:type="textWrapping"/>
            </w:r>
            <w:r>
              <w:rPr>
                <w:rFonts w:hint="eastAsia" w:ascii="新宋体" w:hAnsi="新宋体" w:eastAsia="宋体" w:cs="宋体"/>
                <w:b/>
                <w:color w:val="000000"/>
                <w:sz w:val="18"/>
                <w:szCs w:val="18"/>
              </w:rPr>
              <w:t xml:space="preserve">    城乡特困人员照料护理标准分三档，自理标准为 210 元/月，半自理标准为 350 元/月，完全不能自理人员标准为 700 元/月。</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区民政局、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区财政局、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各街道、功能区</w:t>
            </w:r>
          </w:p>
        </w:tc>
        <w:tc>
          <w:tcPr>
            <w:tcW w:w="4337"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《山东省社会救助办法》、《山东省人民政府关于贯彻国发〔2016〕14 号文件进一步健全特困人员救助供养制度的实施意见》（鲁政发〔2016〕26 号）、《济南市人民政府关于印发济南市特困人员救助供养办法的通知》（济政发〔2017〕24 号）、《济南市民政局 济南市财政局关于调整城乡居民最低生活保障标准和城乡特困人员救助供养标准的通知》（济民发〔2020〕7 号）《关于提高困难群众救助保障水平的通知》（济民发〔2020〕59号）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63"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2</w:t>
            </w:r>
          </w:p>
        </w:tc>
        <w:tc>
          <w:tcPr>
            <w:tcW w:w="793" w:type="dxa"/>
            <w:vMerge w:val="continue"/>
            <w:shd w:val="clear" w:color="auto" w:fill="auto"/>
            <w:tcMar>
              <w:top w:w="15" w:type="dxa"/>
              <w:left w:w="15" w:type="dxa"/>
              <w:right w:w="15" w:type="dxa"/>
            </w:tcMar>
            <w:vAlign w:val="center"/>
          </w:tcPr>
          <w:p>
            <w:pPr>
              <w:jc w:val="center"/>
              <w:rPr>
                <w:rFonts w:ascii="新宋体" w:hAnsi="新宋体" w:eastAsia="宋体" w:cs="宋体"/>
                <w:b/>
                <w:color w:val="000000"/>
                <w:sz w:val="18"/>
                <w:szCs w:val="18"/>
              </w:rPr>
            </w:pPr>
          </w:p>
        </w:tc>
        <w:tc>
          <w:tcPr>
            <w:tcW w:w="1182"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特困老年人</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供养方式</w:t>
            </w:r>
          </w:p>
        </w:tc>
        <w:tc>
          <w:tcPr>
            <w:tcW w:w="1551" w:type="dxa"/>
            <w:vMerge w:val="continue"/>
            <w:shd w:val="clear" w:color="auto" w:fill="auto"/>
            <w:tcMar>
              <w:top w:w="15" w:type="dxa"/>
              <w:left w:w="15" w:type="dxa"/>
              <w:right w:w="15" w:type="dxa"/>
            </w:tcMar>
            <w:vAlign w:val="center"/>
          </w:tcPr>
          <w:p>
            <w:pPr>
              <w:jc w:val="both"/>
              <w:rPr>
                <w:rFonts w:ascii="新宋体" w:hAnsi="新宋体" w:eastAsia="宋体" w:cs="宋体"/>
                <w:b/>
                <w:color w:val="000000"/>
                <w:sz w:val="18"/>
                <w:szCs w:val="18"/>
              </w:rPr>
            </w:pPr>
          </w:p>
        </w:tc>
        <w:tc>
          <w:tcPr>
            <w:tcW w:w="3614" w:type="dxa"/>
            <w:shd w:val="clear" w:color="auto" w:fill="auto"/>
            <w:tcMar>
              <w:top w:w="15" w:type="dxa"/>
              <w:left w:w="15" w:type="dxa"/>
              <w:right w:w="15" w:type="dxa"/>
            </w:tcMar>
            <w:vAlign w:val="center"/>
          </w:tcPr>
          <w:p>
            <w:pPr>
              <w:ind w:firstLine="361" w:firstLineChars="200"/>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特困人员可自主选择机构集中供养或在家分散供养的方式。</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区民政局、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各街道、功能区</w:t>
            </w:r>
          </w:p>
        </w:tc>
        <w:tc>
          <w:tcPr>
            <w:tcW w:w="4337"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《山东省社会救助办法》、《山东省人民政府关于贯彻国发〔2016〕14 号文件进一步健全特困人员救助供养制度的实施意见》（鲁政发〔2016〕26 号）、《济南市人民政府关于印发济南市特困人员救助供养办法的通知》（济政发〔2017〕24 号）、《济南市民政局 济南市财政局关于调整城乡居民最低生活保障标准和城乡特困人员救助供养标准的通知》（济民发〔2020〕7 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42"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3</w:t>
            </w:r>
          </w:p>
        </w:tc>
        <w:tc>
          <w:tcPr>
            <w:tcW w:w="793"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困难老年人养老服务项目</w:t>
            </w:r>
          </w:p>
        </w:tc>
        <w:tc>
          <w:tcPr>
            <w:tcW w:w="1182"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经济困难</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老年人补贴</w:t>
            </w:r>
          </w:p>
        </w:tc>
        <w:tc>
          <w:tcPr>
            <w:tcW w:w="1551"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60-99周岁低保老年人</w:t>
            </w:r>
          </w:p>
        </w:tc>
        <w:tc>
          <w:tcPr>
            <w:tcW w:w="3614" w:type="dxa"/>
            <w:shd w:val="clear" w:color="auto" w:fill="auto"/>
            <w:tcMar>
              <w:top w:w="15" w:type="dxa"/>
              <w:left w:w="15" w:type="dxa"/>
              <w:right w:w="15" w:type="dxa"/>
            </w:tcMar>
            <w:vAlign w:val="center"/>
          </w:tcPr>
          <w:p>
            <w:pPr>
              <w:ind w:firstLine="361" w:firstLineChars="200"/>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对 60-79 岁、80-89 岁、90-99 周岁低保老年人每人每月分别补助 80 元、100 元、200 元；在此基础上，对生活长期不能自理、能力等级为 2—3级的，以及智力、精神和肢体重度残疾的低保老年人，每人每月增发 80 元。对新增低保老年人实行当月审批、当月发放，确保新增和身体变化低保老年人应发尽发、应停尽停。</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区民政局、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区财政局、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各街道、功能区</w:t>
            </w:r>
          </w:p>
        </w:tc>
        <w:tc>
          <w:tcPr>
            <w:tcW w:w="4337"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《山东省民政厅 山东省财政厅关于完善经济困难老年人补贴制度的通知》(鲁民〔2018〕99 号)、《关于完善经济困难老年人补贴制度的实施意见》(济民发〔2018〕140 号)、《关于调整经济困难老年人补贴发放方式的通知》（济民发〔2020〕16 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序号</w:t>
            </w:r>
          </w:p>
        </w:tc>
        <w:tc>
          <w:tcPr>
            <w:tcW w:w="793"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类别</w:t>
            </w:r>
          </w:p>
        </w:tc>
        <w:tc>
          <w:tcPr>
            <w:tcW w:w="1182"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服务项目</w:t>
            </w:r>
          </w:p>
        </w:tc>
        <w:tc>
          <w:tcPr>
            <w:tcW w:w="1551"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服务对象</w:t>
            </w:r>
          </w:p>
        </w:tc>
        <w:tc>
          <w:tcPr>
            <w:tcW w:w="3614"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服务内容及标准</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责任主体</w:t>
            </w:r>
          </w:p>
        </w:tc>
        <w:tc>
          <w:tcPr>
            <w:tcW w:w="4337"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政策依据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54"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4</w:t>
            </w:r>
          </w:p>
        </w:tc>
        <w:tc>
          <w:tcPr>
            <w:tcW w:w="793" w:type="dxa"/>
            <w:vMerge w:val="restart"/>
            <w:shd w:val="clear" w:color="auto" w:fill="auto"/>
            <w:tcMar>
              <w:top w:w="15" w:type="dxa"/>
              <w:left w:w="15" w:type="dxa"/>
              <w:right w:w="15" w:type="dxa"/>
            </w:tcMar>
            <w:vAlign w:val="center"/>
          </w:tcPr>
          <w:p>
            <w:pPr>
              <w:tabs>
                <w:tab w:val="left" w:pos="314"/>
              </w:tabs>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困难老年人养老服务项目</w:t>
            </w:r>
          </w:p>
        </w:tc>
        <w:tc>
          <w:tcPr>
            <w:tcW w:w="1182"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为困难老年人</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购买居家</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养老服务</w:t>
            </w:r>
          </w:p>
        </w:tc>
        <w:tc>
          <w:tcPr>
            <w:tcW w:w="1551"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年满60 周岁及以上，经第三方老年人能力评估，有照料需求的老年人（患有传染性疾病、精神疾病的老年人除外）</w:t>
            </w:r>
          </w:p>
        </w:tc>
        <w:tc>
          <w:tcPr>
            <w:tcW w:w="3614" w:type="dxa"/>
            <w:shd w:val="clear" w:color="auto" w:fill="auto"/>
            <w:tcMar>
              <w:top w:w="15" w:type="dxa"/>
              <w:left w:w="15" w:type="dxa"/>
              <w:right w:w="15" w:type="dxa"/>
            </w:tcMar>
            <w:vAlign w:val="center"/>
          </w:tcPr>
          <w:p>
            <w:pPr>
              <w:ind w:firstLine="361" w:firstLineChars="200"/>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依据老年人能力和需求评估结果，统筹现行特困人员供养、经济困难老年人补贴等政策，为符合条件的困难老年人提供居家养老服务。</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区民政局、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区财政局、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各街道、功能区</w:t>
            </w:r>
          </w:p>
        </w:tc>
        <w:tc>
          <w:tcPr>
            <w:tcW w:w="4337"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《山东省养老服务条例》、《山东省人民政府办公厅关于推进养老服务发展的实施意见》（鲁政办发〔2019〕31 号）、《济南市人民政府办公厅关于加快推进养老服务发展的实施意见》（济政办发〔2020〕7 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22"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5</w:t>
            </w:r>
          </w:p>
        </w:tc>
        <w:tc>
          <w:tcPr>
            <w:tcW w:w="793" w:type="dxa"/>
            <w:vMerge w:val="continue"/>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p>
        </w:tc>
        <w:tc>
          <w:tcPr>
            <w:tcW w:w="1182"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为特殊困难</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老年人家庭</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实施适老化</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改造</w:t>
            </w:r>
          </w:p>
        </w:tc>
        <w:tc>
          <w:tcPr>
            <w:tcW w:w="1551"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分散供养特困人员、低保和建档立卡贫困户范围的高龄（80周岁及以上）、失能或残疾老年人家庭</w:t>
            </w:r>
          </w:p>
        </w:tc>
        <w:tc>
          <w:tcPr>
            <w:tcW w:w="3614" w:type="dxa"/>
            <w:shd w:val="clear" w:color="auto" w:fill="auto"/>
            <w:tcMar>
              <w:top w:w="15" w:type="dxa"/>
              <w:left w:w="15" w:type="dxa"/>
              <w:right w:w="15" w:type="dxa"/>
            </w:tcMar>
            <w:vAlign w:val="center"/>
          </w:tcPr>
          <w:p>
            <w:pPr>
              <w:ind w:firstLine="361" w:firstLineChars="200"/>
              <w:jc w:val="both"/>
              <w:textAlignment w:val="center"/>
              <w:rPr>
                <w:rFonts w:ascii="新宋体" w:hAnsi="新宋体" w:eastAsia="宋体" w:cs="宋体"/>
                <w:b/>
                <w:w w:val="91"/>
                <w:sz w:val="18"/>
                <w:szCs w:val="18"/>
              </w:rPr>
            </w:pPr>
            <w:r>
              <w:rPr>
                <w:rFonts w:hint="eastAsia" w:ascii="新宋体" w:hAnsi="新宋体" w:eastAsia="宋体" w:cs="宋体"/>
                <w:b/>
                <w:color w:val="000000"/>
                <w:sz w:val="18"/>
                <w:szCs w:val="18"/>
              </w:rPr>
              <w:t>采取政府购买服务的方式，为钢城区户籍并纳入特困供养，享受低保、建档立卡范围的高龄（80周岁及以上）、失能或残疾老年人家庭所拥有产权或长期居住权，且近期没有纳入动迁规划的房屋进行最急需的适老化改造。</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区民政局、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区财政局、</w:t>
            </w:r>
          </w:p>
          <w:p>
            <w:pPr>
              <w:jc w:val="center"/>
              <w:textAlignment w:val="center"/>
              <w:rPr>
                <w:rFonts w:ascii="新宋体" w:hAnsi="新宋体" w:eastAsia="宋体" w:cs="宋体"/>
                <w:b/>
                <w:w w:val="95"/>
                <w:sz w:val="18"/>
                <w:szCs w:val="18"/>
              </w:rPr>
            </w:pPr>
            <w:r>
              <w:rPr>
                <w:rFonts w:hint="eastAsia" w:ascii="新宋体" w:hAnsi="新宋体" w:eastAsia="宋体" w:cs="宋体"/>
                <w:b/>
                <w:color w:val="000000"/>
                <w:sz w:val="18"/>
                <w:szCs w:val="18"/>
              </w:rPr>
              <w:t>各街道、功能区</w:t>
            </w:r>
          </w:p>
        </w:tc>
        <w:tc>
          <w:tcPr>
            <w:tcW w:w="4337" w:type="dxa"/>
            <w:shd w:val="clear" w:color="auto" w:fill="auto"/>
            <w:tcMar>
              <w:top w:w="15" w:type="dxa"/>
              <w:left w:w="15" w:type="dxa"/>
              <w:right w:w="15" w:type="dxa"/>
            </w:tcMar>
            <w:vAlign w:val="center"/>
          </w:tcPr>
          <w:p>
            <w:pPr>
              <w:jc w:val="both"/>
              <w:textAlignment w:val="center"/>
              <w:rPr>
                <w:rFonts w:ascii="新宋体" w:hAnsi="新宋体" w:eastAsia="宋体" w:cs="宋体"/>
                <w:b/>
                <w:w w:val="98"/>
                <w:sz w:val="18"/>
                <w:szCs w:val="18"/>
              </w:rPr>
            </w:pPr>
            <w:r>
              <w:rPr>
                <w:rFonts w:hint="eastAsia" w:ascii="新宋体" w:hAnsi="新宋体" w:eastAsia="宋体" w:cs="宋体"/>
                <w:b/>
                <w:color w:val="000000"/>
                <w:sz w:val="18"/>
                <w:szCs w:val="18"/>
              </w:rPr>
              <w:t>《山东省养老服务条例》、《山东省人民政府办公厅关于推进养老服务发展的实施意见》（鲁政办发〔2019〕31 号）、《济南市人民政府办公厅关于加快推进养老服务发展的实施意见》（济政办发〔2020〕7 号）、《关于印发&lt;济南市经济困难老年人家庭适老化改造实施办法（试行）&gt;的通知》（济民发〔2020〕41 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9"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6</w:t>
            </w:r>
          </w:p>
        </w:tc>
        <w:tc>
          <w:tcPr>
            <w:tcW w:w="793" w:type="dxa"/>
            <w:vMerge w:val="continue"/>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p>
        </w:tc>
        <w:tc>
          <w:tcPr>
            <w:tcW w:w="1182"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特殊家庭的</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老年人</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巡访关爱</w:t>
            </w:r>
          </w:p>
        </w:tc>
        <w:tc>
          <w:tcPr>
            <w:tcW w:w="1551"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独居、空巢、农村留守、计划生育特殊家庭老年人</w:t>
            </w:r>
          </w:p>
        </w:tc>
        <w:tc>
          <w:tcPr>
            <w:tcW w:w="3614" w:type="dxa"/>
            <w:shd w:val="clear" w:color="auto" w:fill="auto"/>
            <w:tcMar>
              <w:top w:w="15" w:type="dxa"/>
              <w:left w:w="15" w:type="dxa"/>
              <w:right w:w="15" w:type="dxa"/>
            </w:tcMar>
            <w:vAlign w:val="center"/>
          </w:tcPr>
          <w:p>
            <w:pPr>
              <w:ind w:firstLine="361" w:firstLineChars="200"/>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落实社区居家养老探访制度，依托街道（镇）、村居自治组织或通过购买服务等方式，支持引导养老服务组织（企业）、社区和社会组织等重点面向独居、空巢、留守、失能、计划生育特殊家庭等困难老年人定期开展探访和帮扶服务，防范和化解意外风险。</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区民政局、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区财政局、</w:t>
            </w:r>
          </w:p>
          <w:p>
            <w:pPr>
              <w:jc w:val="center"/>
              <w:textAlignment w:val="center"/>
              <w:rPr>
                <w:rFonts w:ascii="新宋体" w:hAnsi="新宋体" w:eastAsia="宋体" w:cs="宋体"/>
                <w:b/>
                <w:w w:val="95"/>
                <w:sz w:val="18"/>
                <w:szCs w:val="18"/>
              </w:rPr>
            </w:pPr>
            <w:r>
              <w:rPr>
                <w:rFonts w:hint="eastAsia" w:ascii="新宋体" w:hAnsi="新宋体" w:eastAsia="宋体" w:cs="宋体"/>
                <w:b/>
                <w:color w:val="000000"/>
                <w:sz w:val="18"/>
                <w:szCs w:val="18"/>
              </w:rPr>
              <w:t>各街道、功能区</w:t>
            </w:r>
          </w:p>
        </w:tc>
        <w:tc>
          <w:tcPr>
            <w:tcW w:w="4337"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《山东省养老服务条例》、《山东省人民政府办公厅关于推进养老服务发展的实施意见》（鲁政办发〔2019〕31 号）、《济南市人民政府办公厅关于加快推进养老服务发展的实施意见》（济政办发〔2020〕7 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76"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7</w:t>
            </w:r>
          </w:p>
        </w:tc>
        <w:tc>
          <w:tcPr>
            <w:tcW w:w="793" w:type="dxa"/>
            <w:vMerge w:val="restart"/>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普惠型老年人服务和优待项目</w:t>
            </w:r>
          </w:p>
        </w:tc>
        <w:tc>
          <w:tcPr>
            <w:tcW w:w="1182" w:type="dxa"/>
            <w:shd w:val="clear" w:color="auto" w:fill="auto"/>
            <w:tcMar>
              <w:top w:w="15" w:type="dxa"/>
              <w:left w:w="15" w:type="dxa"/>
              <w:right w:w="15" w:type="dxa"/>
            </w:tcMar>
            <w:vAlign w:val="center"/>
          </w:tcPr>
          <w:p>
            <w:pPr>
              <w:ind w:firstLine="361" w:firstLineChars="200"/>
              <w:jc w:val="both"/>
              <w:textAlignment w:val="center"/>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高龄津贴</w:t>
            </w:r>
          </w:p>
        </w:tc>
        <w:tc>
          <w:tcPr>
            <w:tcW w:w="1551" w:type="dxa"/>
            <w:shd w:val="clear" w:color="auto" w:fill="auto"/>
            <w:tcMar>
              <w:top w:w="15" w:type="dxa"/>
              <w:left w:w="15" w:type="dxa"/>
              <w:right w:w="15" w:type="dxa"/>
            </w:tcMar>
            <w:vAlign w:val="center"/>
          </w:tcPr>
          <w:p>
            <w:pPr>
              <w:jc w:val="both"/>
              <w:textAlignment w:val="center"/>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80周岁及以上老年人</w:t>
            </w:r>
          </w:p>
        </w:tc>
        <w:tc>
          <w:tcPr>
            <w:tcW w:w="3614" w:type="dxa"/>
            <w:shd w:val="clear" w:color="auto" w:fill="auto"/>
            <w:tcMar>
              <w:top w:w="15" w:type="dxa"/>
              <w:left w:w="15" w:type="dxa"/>
              <w:right w:w="15" w:type="dxa"/>
            </w:tcMar>
            <w:vAlign w:val="center"/>
          </w:tcPr>
          <w:p>
            <w:pPr>
              <w:ind w:firstLine="361" w:firstLineChars="200"/>
              <w:jc w:val="both"/>
              <w:textAlignment w:val="center"/>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8</w:t>
            </w:r>
            <w:r>
              <w:rPr>
                <w:rFonts w:hint="eastAsia" w:ascii="新宋体" w:hAnsi="新宋体" w:eastAsia="宋体" w:cs="宋体"/>
                <w:b/>
                <w:color w:val="000000"/>
                <w:sz w:val="18"/>
                <w:szCs w:val="18"/>
                <w:lang w:val="en-US" w:eastAsia="zh-CN"/>
              </w:rPr>
              <w:t>0</w:t>
            </w:r>
            <w:r>
              <w:rPr>
                <w:rFonts w:hint="eastAsia" w:ascii="新宋体" w:hAnsi="新宋体" w:eastAsia="宋体" w:cs="宋体"/>
                <w:b/>
                <w:color w:val="000000"/>
                <w:sz w:val="18"/>
                <w:szCs w:val="18"/>
              </w:rPr>
              <w:t>-89周岁无离退休金的老年人每人每月100元；90—99周岁老年人每人每月200元；百岁以上(含百岁)的老年人每人每月500元。</w:t>
            </w:r>
          </w:p>
        </w:tc>
        <w:tc>
          <w:tcPr>
            <w:tcW w:w="1596" w:type="dxa"/>
            <w:shd w:val="clear" w:color="auto" w:fill="auto"/>
            <w:tcMar>
              <w:top w:w="15" w:type="dxa"/>
              <w:left w:w="15" w:type="dxa"/>
              <w:right w:w="15" w:type="dxa"/>
            </w:tcMar>
            <w:vAlign w:val="center"/>
          </w:tcPr>
          <w:p>
            <w:pPr>
              <w:jc w:val="center"/>
              <w:textAlignment w:val="center"/>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区卫生健康局、</w:t>
            </w:r>
          </w:p>
          <w:p>
            <w:pPr>
              <w:jc w:val="center"/>
              <w:textAlignment w:val="center"/>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区财政局</w:t>
            </w:r>
          </w:p>
        </w:tc>
        <w:tc>
          <w:tcPr>
            <w:tcW w:w="4337" w:type="dxa"/>
            <w:shd w:val="clear" w:color="auto" w:fill="auto"/>
            <w:tcMar>
              <w:top w:w="15" w:type="dxa"/>
              <w:left w:w="15" w:type="dxa"/>
              <w:right w:w="15" w:type="dxa"/>
            </w:tcMar>
            <w:vAlign w:val="center"/>
          </w:tcPr>
          <w:p>
            <w:pPr>
              <w:ind w:firstLine="361" w:firstLineChars="200"/>
              <w:jc w:val="both"/>
              <w:textAlignment w:val="center"/>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《关于发放80-89周岁高龄津贴的通知》(济老龄办字〔2017〕38号)、《关于印发&lt;济南市90周岁及以上老年人高龄津贴发放管理办法&gt;的通知》济老龄办字〔2017〕16号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68"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8</w:t>
            </w:r>
          </w:p>
        </w:tc>
        <w:tc>
          <w:tcPr>
            <w:tcW w:w="793" w:type="dxa"/>
            <w:vMerge w:val="continue"/>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p>
        </w:tc>
        <w:tc>
          <w:tcPr>
            <w:tcW w:w="1182"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老年人</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健康管理</w:t>
            </w:r>
          </w:p>
        </w:tc>
        <w:tc>
          <w:tcPr>
            <w:tcW w:w="1551"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65周岁及以上老年人</w:t>
            </w:r>
          </w:p>
        </w:tc>
        <w:tc>
          <w:tcPr>
            <w:tcW w:w="3614" w:type="dxa"/>
            <w:shd w:val="clear" w:color="auto" w:fill="auto"/>
            <w:tcMar>
              <w:top w:w="15" w:type="dxa"/>
              <w:left w:w="15" w:type="dxa"/>
              <w:right w:w="15" w:type="dxa"/>
            </w:tcMar>
            <w:vAlign w:val="center"/>
          </w:tcPr>
          <w:p>
            <w:pPr>
              <w:ind w:firstLine="361" w:firstLineChars="200"/>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每年提供一次免费健康管理服务，建立健康档案，包括生活方式和健康状况评估、体格检查、辅助检查、健康指导等。</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区卫生健康局</w:t>
            </w:r>
          </w:p>
        </w:tc>
        <w:tc>
          <w:tcPr>
            <w:tcW w:w="4337"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《山东省养老服务条例》、《山东省人民政府关于印发山东省优待老年人规定的通知》（鲁政发〔2011〕54 号）《国家基本公共卫生服务规范（山东 2017 年版）》（鲁卫基层字〔2017〕7 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序号</w:t>
            </w:r>
          </w:p>
        </w:tc>
        <w:tc>
          <w:tcPr>
            <w:tcW w:w="793"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类别</w:t>
            </w:r>
          </w:p>
        </w:tc>
        <w:tc>
          <w:tcPr>
            <w:tcW w:w="1182"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服务项目</w:t>
            </w:r>
          </w:p>
        </w:tc>
        <w:tc>
          <w:tcPr>
            <w:tcW w:w="1551"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服务对象</w:t>
            </w:r>
          </w:p>
        </w:tc>
        <w:tc>
          <w:tcPr>
            <w:tcW w:w="3614"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服务内容及标准</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责任主体</w:t>
            </w:r>
          </w:p>
        </w:tc>
        <w:tc>
          <w:tcPr>
            <w:tcW w:w="4337" w:type="dxa"/>
            <w:shd w:val="clear" w:color="auto" w:fill="auto"/>
            <w:tcMar>
              <w:top w:w="15" w:type="dxa"/>
              <w:left w:w="15" w:type="dxa"/>
              <w:right w:w="15" w:type="dxa"/>
            </w:tcMar>
            <w:vAlign w:val="center"/>
          </w:tcPr>
          <w:p>
            <w:pPr>
              <w:jc w:val="center"/>
              <w:textAlignment w:val="center"/>
              <w:rPr>
                <w:rFonts w:ascii="新宋体" w:hAnsi="新宋体" w:eastAsia="黑体" w:cs="宋体"/>
                <w:b/>
                <w:color w:val="000000"/>
                <w:sz w:val="18"/>
                <w:szCs w:val="18"/>
              </w:rPr>
            </w:pPr>
            <w:r>
              <w:rPr>
                <w:rFonts w:hint="eastAsia" w:ascii="新宋体" w:hAnsi="新宋体" w:eastAsia="黑体" w:cs="宋体"/>
                <w:b/>
                <w:color w:val="000000"/>
                <w:sz w:val="18"/>
                <w:szCs w:val="18"/>
              </w:rPr>
              <w:t>政策依据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0" w:hRule="atLeast"/>
          <w:jc w:val="center"/>
        </w:trPr>
        <w:tc>
          <w:tcPr>
            <w:tcW w:w="535" w:type="dxa"/>
            <w:shd w:val="clear" w:color="auto" w:fill="auto"/>
            <w:tcMar>
              <w:top w:w="15" w:type="dxa"/>
              <w:left w:w="15" w:type="dxa"/>
              <w:right w:w="15" w:type="dxa"/>
            </w:tcMar>
            <w:vAlign w:val="center"/>
          </w:tcPr>
          <w:p>
            <w:pPr>
              <w:jc w:val="center"/>
              <w:rPr>
                <w:rFonts w:ascii="新宋体" w:hAnsi="新宋体"/>
                <w:b/>
              </w:rPr>
            </w:pPr>
            <w:r>
              <w:rPr>
                <w:rFonts w:hint="eastAsia" w:ascii="新宋体" w:hAnsi="新宋体"/>
                <w:b/>
              </w:rPr>
              <w:t>9</w:t>
            </w:r>
          </w:p>
        </w:tc>
        <w:tc>
          <w:tcPr>
            <w:tcW w:w="793" w:type="dxa"/>
            <w:vMerge w:val="restart"/>
            <w:shd w:val="clear" w:color="auto" w:fill="auto"/>
            <w:tcMar>
              <w:top w:w="15" w:type="dxa"/>
              <w:left w:w="15" w:type="dxa"/>
              <w:right w:w="15" w:type="dxa"/>
            </w:tcMar>
            <w:vAlign w:val="center"/>
          </w:tcPr>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普惠型老年人服务和优待</w:t>
            </w:r>
          </w:p>
          <w:p>
            <w:pPr>
              <w:jc w:val="center"/>
              <w:rPr>
                <w:rFonts w:ascii="新宋体" w:hAnsi="新宋体"/>
                <w:b/>
              </w:rPr>
            </w:pPr>
            <w:r>
              <w:rPr>
                <w:rFonts w:hint="eastAsia" w:ascii="新宋体" w:hAnsi="新宋体" w:eastAsia="宋体" w:cs="宋体"/>
                <w:b/>
                <w:color w:val="000000"/>
                <w:sz w:val="18"/>
                <w:szCs w:val="18"/>
              </w:rPr>
              <w:t>项目</w:t>
            </w:r>
          </w:p>
        </w:tc>
        <w:tc>
          <w:tcPr>
            <w:tcW w:w="1182" w:type="dxa"/>
            <w:shd w:val="clear" w:color="auto" w:fill="auto"/>
            <w:tcMar>
              <w:top w:w="15" w:type="dxa"/>
              <w:left w:w="15" w:type="dxa"/>
              <w:right w:w="15" w:type="dxa"/>
            </w:tcMar>
            <w:vAlign w:val="center"/>
          </w:tcPr>
          <w:p>
            <w:pPr>
              <w:jc w:val="center"/>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老年人文体</w:t>
            </w:r>
          </w:p>
          <w:p>
            <w:pPr>
              <w:jc w:val="center"/>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休闲优待</w:t>
            </w:r>
          </w:p>
        </w:tc>
        <w:tc>
          <w:tcPr>
            <w:tcW w:w="1551" w:type="dxa"/>
            <w:shd w:val="clear" w:color="auto" w:fill="auto"/>
            <w:tcMar>
              <w:top w:w="15" w:type="dxa"/>
              <w:left w:w="15" w:type="dxa"/>
              <w:right w:w="15" w:type="dxa"/>
            </w:tcMar>
            <w:vAlign w:val="center"/>
          </w:tcPr>
          <w:p>
            <w:pPr>
              <w:jc w:val="both"/>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60周岁及以上老年人</w:t>
            </w:r>
          </w:p>
        </w:tc>
        <w:tc>
          <w:tcPr>
            <w:tcW w:w="3614" w:type="dxa"/>
            <w:shd w:val="clear" w:color="auto" w:fill="auto"/>
            <w:tcMar>
              <w:top w:w="15" w:type="dxa"/>
              <w:left w:w="15" w:type="dxa"/>
              <w:right w:w="15" w:type="dxa"/>
            </w:tcMar>
            <w:vAlign w:val="center"/>
          </w:tcPr>
          <w:p>
            <w:pPr>
              <w:ind w:firstLine="361" w:firstLineChars="200"/>
              <w:jc w:val="both"/>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政府兴办或者支持的公园、景点免购门票；社会力量兴办的公园、景点，七十周岁以上的免购门票，不满七十周岁的半价购票；免费进入公共文化馆、图书馆、博物馆、科技馆、美术馆、展览馆、纪念馆等场所；政府兴办或者支持的公共体育健身场所,按照时段免费或者优惠。票价需明码标价，并在醒目位置公示。</w:t>
            </w:r>
          </w:p>
        </w:tc>
        <w:tc>
          <w:tcPr>
            <w:tcW w:w="1596" w:type="dxa"/>
            <w:shd w:val="clear" w:color="auto" w:fill="auto"/>
            <w:tcMar>
              <w:top w:w="15" w:type="dxa"/>
              <w:left w:w="15" w:type="dxa"/>
              <w:right w:w="15" w:type="dxa"/>
            </w:tcMar>
            <w:vAlign w:val="center"/>
          </w:tcPr>
          <w:p>
            <w:pPr>
              <w:jc w:val="center"/>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区卫生健康局、</w:t>
            </w:r>
          </w:p>
          <w:p>
            <w:pPr>
              <w:jc w:val="center"/>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 xml:space="preserve">区发展和改革局、 </w:t>
            </w:r>
            <w:r>
              <w:rPr>
                <w:rFonts w:hint="eastAsia" w:ascii="新宋体" w:hAnsi="新宋体" w:eastAsia="宋体" w:cs="宋体"/>
                <w:b/>
                <w:color w:val="000000"/>
                <w:sz w:val="18"/>
                <w:szCs w:val="18"/>
              </w:rPr>
              <w:t>区</w:t>
            </w:r>
            <w:r>
              <w:rPr>
                <w:rFonts w:hint="eastAsia" w:ascii="新宋体" w:hAnsi="新宋体" w:eastAsia="宋体" w:cs="宋体"/>
                <w:b/>
                <w:color w:val="000000"/>
                <w:sz w:val="18"/>
                <w:szCs w:val="18"/>
                <w:lang w:eastAsia="zh-CN"/>
              </w:rPr>
              <w:t>住房和城乡建设</w:t>
            </w:r>
            <w:r>
              <w:rPr>
                <w:rFonts w:hint="eastAsia" w:ascii="新宋体" w:hAnsi="新宋体" w:eastAsia="宋体" w:cs="宋体"/>
                <w:b/>
                <w:color w:val="000000"/>
                <w:sz w:val="18"/>
                <w:szCs w:val="18"/>
              </w:rPr>
              <w:t>局、</w:t>
            </w:r>
          </w:p>
          <w:p>
            <w:pPr>
              <w:jc w:val="center"/>
              <w:rPr>
                <w:rFonts w:hint="eastAsia" w:ascii="新宋体" w:hAnsi="新宋体" w:eastAsia="宋体" w:cs="宋体"/>
                <w:b/>
                <w:color w:val="000000"/>
                <w:sz w:val="18"/>
                <w:szCs w:val="18"/>
              </w:rPr>
            </w:pPr>
            <w:r>
              <w:rPr>
                <w:rFonts w:hint="eastAsia" w:ascii="新宋体" w:hAnsi="新宋体" w:eastAsia="宋体" w:cs="宋体"/>
                <w:b/>
                <w:color w:val="000000"/>
                <w:sz w:val="18"/>
                <w:szCs w:val="18"/>
              </w:rPr>
              <w:t>区教育和体育局等</w:t>
            </w:r>
          </w:p>
        </w:tc>
        <w:tc>
          <w:tcPr>
            <w:tcW w:w="4337"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《山东省老年人权益保障条例》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45" w:hRule="atLeast"/>
          <w:jc w:val="center"/>
        </w:trPr>
        <w:tc>
          <w:tcPr>
            <w:tcW w:w="535" w:type="dxa"/>
            <w:shd w:val="clear" w:color="auto" w:fill="auto"/>
            <w:tcMar>
              <w:top w:w="15" w:type="dxa"/>
              <w:left w:w="15" w:type="dxa"/>
              <w:right w:w="15" w:type="dxa"/>
            </w:tcMar>
            <w:vAlign w:val="center"/>
          </w:tcPr>
          <w:p>
            <w:pPr>
              <w:jc w:val="center"/>
              <w:rPr>
                <w:rFonts w:ascii="新宋体" w:hAnsi="新宋体"/>
                <w:b/>
              </w:rPr>
            </w:pPr>
            <w:r>
              <w:rPr>
                <w:rFonts w:hint="eastAsia" w:ascii="新宋体" w:hAnsi="新宋体"/>
                <w:b/>
              </w:rPr>
              <w:t>10</w:t>
            </w:r>
          </w:p>
        </w:tc>
        <w:tc>
          <w:tcPr>
            <w:tcW w:w="793" w:type="dxa"/>
            <w:vMerge w:val="continue"/>
            <w:shd w:val="clear" w:color="auto" w:fill="auto"/>
            <w:tcMar>
              <w:top w:w="15" w:type="dxa"/>
              <w:left w:w="15" w:type="dxa"/>
              <w:right w:w="15" w:type="dxa"/>
            </w:tcMar>
            <w:vAlign w:val="center"/>
          </w:tcPr>
          <w:p>
            <w:pPr>
              <w:jc w:val="center"/>
              <w:rPr>
                <w:rFonts w:ascii="新宋体" w:hAnsi="新宋体" w:eastAsia="宋体" w:cs="宋体"/>
                <w:b/>
                <w:color w:val="000000"/>
                <w:sz w:val="18"/>
                <w:szCs w:val="18"/>
              </w:rPr>
            </w:pPr>
          </w:p>
        </w:tc>
        <w:tc>
          <w:tcPr>
            <w:tcW w:w="1182" w:type="dxa"/>
            <w:shd w:val="clear" w:color="auto" w:fill="auto"/>
            <w:tcMar>
              <w:top w:w="15" w:type="dxa"/>
              <w:left w:w="15" w:type="dxa"/>
              <w:right w:w="15" w:type="dxa"/>
            </w:tcMar>
            <w:vAlign w:val="center"/>
          </w:tcPr>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老年人生活</w:t>
            </w:r>
          </w:p>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服务优待</w:t>
            </w:r>
          </w:p>
        </w:tc>
        <w:tc>
          <w:tcPr>
            <w:tcW w:w="1551" w:type="dxa"/>
            <w:shd w:val="clear" w:color="auto" w:fill="auto"/>
            <w:tcMar>
              <w:top w:w="15" w:type="dxa"/>
              <w:left w:w="15" w:type="dxa"/>
              <w:right w:w="15" w:type="dxa"/>
            </w:tcMar>
            <w:vAlign w:val="center"/>
          </w:tcPr>
          <w:p>
            <w:pPr>
              <w:jc w:val="both"/>
              <w:rPr>
                <w:rFonts w:ascii="新宋体" w:hAnsi="新宋体" w:eastAsia="宋体" w:cs="宋体"/>
                <w:b/>
                <w:color w:val="000000"/>
                <w:sz w:val="18"/>
                <w:szCs w:val="18"/>
              </w:rPr>
            </w:pPr>
            <w:r>
              <w:rPr>
                <w:rFonts w:hint="eastAsia" w:ascii="新宋体" w:hAnsi="新宋体" w:eastAsia="宋体" w:cs="宋体"/>
                <w:b/>
                <w:color w:val="000000"/>
                <w:sz w:val="18"/>
                <w:szCs w:val="18"/>
              </w:rPr>
              <w:t>60周岁及以上老年人</w:t>
            </w:r>
          </w:p>
        </w:tc>
        <w:tc>
          <w:tcPr>
            <w:tcW w:w="3614" w:type="dxa"/>
            <w:shd w:val="clear" w:color="auto" w:fill="auto"/>
            <w:tcMar>
              <w:top w:w="15" w:type="dxa"/>
              <w:left w:w="15" w:type="dxa"/>
              <w:right w:w="15" w:type="dxa"/>
            </w:tcMar>
            <w:vAlign w:val="center"/>
          </w:tcPr>
          <w:p>
            <w:pPr>
              <w:ind w:firstLine="361" w:firstLineChars="200"/>
              <w:jc w:val="both"/>
              <w:rPr>
                <w:rFonts w:ascii="新宋体" w:hAnsi="新宋体" w:eastAsia="宋体" w:cs="宋体"/>
                <w:b/>
                <w:color w:val="000000"/>
                <w:sz w:val="18"/>
                <w:szCs w:val="18"/>
              </w:rPr>
            </w:pPr>
            <w:r>
              <w:rPr>
                <w:rFonts w:hint="eastAsia" w:ascii="新宋体" w:hAnsi="新宋体" w:eastAsia="宋体" w:cs="宋体"/>
                <w:b/>
                <w:color w:val="000000"/>
                <w:sz w:val="18"/>
                <w:szCs w:val="18"/>
              </w:rPr>
              <w:t>六十周岁以上免费乘坐市内公共交通工具。</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区卫生健康局、</w:t>
            </w:r>
          </w:p>
          <w:p>
            <w:pPr>
              <w:jc w:val="center"/>
              <w:textAlignment w:val="center"/>
              <w:rPr>
                <w:rFonts w:ascii="新宋体" w:hAnsi="新宋体"/>
                <w:b/>
              </w:rPr>
            </w:pPr>
            <w:r>
              <w:rPr>
                <w:rFonts w:hint="eastAsia" w:ascii="新宋体" w:hAnsi="新宋体" w:eastAsia="宋体" w:cs="宋体"/>
                <w:b/>
                <w:color w:val="000000"/>
                <w:sz w:val="18"/>
                <w:szCs w:val="18"/>
              </w:rPr>
              <w:t>区城乡交通运输局</w:t>
            </w:r>
          </w:p>
        </w:tc>
        <w:tc>
          <w:tcPr>
            <w:tcW w:w="4337"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《山东省老年人权益保障条例》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75" w:hRule="atLeast"/>
          <w:jc w:val="center"/>
        </w:trPr>
        <w:tc>
          <w:tcPr>
            <w:tcW w:w="535" w:type="dxa"/>
            <w:shd w:val="clear" w:color="auto" w:fill="auto"/>
            <w:tcMar>
              <w:top w:w="15" w:type="dxa"/>
              <w:left w:w="15" w:type="dxa"/>
              <w:right w:w="15" w:type="dxa"/>
            </w:tcMar>
            <w:vAlign w:val="center"/>
          </w:tcPr>
          <w:p>
            <w:pPr>
              <w:jc w:val="center"/>
              <w:rPr>
                <w:rFonts w:ascii="新宋体" w:hAnsi="新宋体"/>
                <w:b/>
              </w:rPr>
            </w:pPr>
            <w:r>
              <w:rPr>
                <w:rFonts w:hint="eastAsia" w:ascii="新宋体" w:hAnsi="新宋体"/>
                <w:b/>
              </w:rPr>
              <w:t>11</w:t>
            </w:r>
          </w:p>
        </w:tc>
        <w:tc>
          <w:tcPr>
            <w:tcW w:w="793" w:type="dxa"/>
            <w:vMerge w:val="continue"/>
            <w:shd w:val="clear" w:color="auto" w:fill="auto"/>
            <w:tcMar>
              <w:top w:w="15" w:type="dxa"/>
              <w:left w:w="15" w:type="dxa"/>
              <w:right w:w="15" w:type="dxa"/>
            </w:tcMar>
            <w:vAlign w:val="center"/>
          </w:tcPr>
          <w:p>
            <w:pPr>
              <w:jc w:val="center"/>
              <w:rPr>
                <w:rFonts w:ascii="新宋体" w:hAnsi="新宋体" w:eastAsia="宋体" w:cs="宋体"/>
                <w:b/>
                <w:color w:val="000000"/>
                <w:sz w:val="18"/>
                <w:szCs w:val="18"/>
              </w:rPr>
            </w:pPr>
          </w:p>
        </w:tc>
        <w:tc>
          <w:tcPr>
            <w:tcW w:w="1182" w:type="dxa"/>
            <w:shd w:val="clear" w:color="auto" w:fill="auto"/>
            <w:tcMar>
              <w:top w:w="15" w:type="dxa"/>
              <w:left w:w="15" w:type="dxa"/>
              <w:right w:w="15" w:type="dxa"/>
            </w:tcMar>
            <w:vAlign w:val="center"/>
          </w:tcPr>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老年人</w:t>
            </w:r>
          </w:p>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法律援助</w:t>
            </w:r>
          </w:p>
        </w:tc>
        <w:tc>
          <w:tcPr>
            <w:tcW w:w="1551" w:type="dxa"/>
            <w:shd w:val="clear" w:color="auto" w:fill="auto"/>
            <w:tcMar>
              <w:top w:w="15" w:type="dxa"/>
              <w:left w:w="15" w:type="dxa"/>
              <w:right w:w="15" w:type="dxa"/>
            </w:tcMar>
            <w:vAlign w:val="center"/>
          </w:tcPr>
          <w:p>
            <w:pPr>
              <w:jc w:val="both"/>
              <w:rPr>
                <w:rFonts w:ascii="新宋体" w:hAnsi="新宋体" w:eastAsia="宋体" w:cs="宋体"/>
                <w:b/>
                <w:color w:val="000000"/>
                <w:sz w:val="18"/>
                <w:szCs w:val="18"/>
              </w:rPr>
            </w:pPr>
            <w:r>
              <w:rPr>
                <w:rFonts w:hint="eastAsia" w:ascii="新宋体" w:hAnsi="新宋体" w:eastAsia="宋体" w:cs="宋体"/>
                <w:b/>
                <w:color w:val="000000"/>
                <w:sz w:val="18"/>
                <w:szCs w:val="18"/>
              </w:rPr>
              <w:t>60周岁及以上老年人</w:t>
            </w:r>
          </w:p>
        </w:tc>
        <w:tc>
          <w:tcPr>
            <w:tcW w:w="3614" w:type="dxa"/>
            <w:shd w:val="clear" w:color="auto" w:fill="auto"/>
            <w:tcMar>
              <w:top w:w="15" w:type="dxa"/>
              <w:left w:w="15" w:type="dxa"/>
              <w:right w:w="15" w:type="dxa"/>
            </w:tcMar>
            <w:vAlign w:val="center"/>
          </w:tcPr>
          <w:p>
            <w:pPr>
              <w:ind w:firstLine="361" w:firstLineChars="200"/>
              <w:jc w:val="both"/>
              <w:rPr>
                <w:rFonts w:ascii="新宋体" w:hAnsi="新宋体" w:eastAsia="宋体" w:cs="宋体"/>
                <w:b/>
                <w:color w:val="000000"/>
                <w:sz w:val="18"/>
                <w:szCs w:val="18"/>
              </w:rPr>
            </w:pPr>
            <w:r>
              <w:rPr>
                <w:rFonts w:hint="eastAsia" w:ascii="新宋体" w:hAnsi="新宋体" w:eastAsia="宋体" w:cs="宋体"/>
                <w:b/>
                <w:color w:val="000000"/>
                <w:sz w:val="18"/>
                <w:szCs w:val="18"/>
              </w:rPr>
              <w:t>老年人因其合法权益受侵害提起诉讼交纳诉讼费确有困难的，可以缓交、减交或者免交；需要获得律师帮助,但是无力支付律师费用的， 可以获得法律援助。</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区卫生健康局、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区司法局,</w:t>
            </w:r>
          </w:p>
          <w:p>
            <w:pPr>
              <w:jc w:val="center"/>
              <w:textAlignment w:val="center"/>
              <w:rPr>
                <w:rFonts w:ascii="新宋体" w:hAnsi="新宋体"/>
                <w:b/>
              </w:rPr>
            </w:pPr>
            <w:r>
              <w:rPr>
                <w:rFonts w:hint="eastAsia" w:ascii="新宋体" w:hAnsi="新宋体" w:eastAsia="宋体" w:cs="宋体"/>
                <w:b/>
                <w:color w:val="000000"/>
                <w:sz w:val="18"/>
                <w:szCs w:val="18"/>
              </w:rPr>
              <w:t>区人民法院</w:t>
            </w:r>
          </w:p>
        </w:tc>
        <w:tc>
          <w:tcPr>
            <w:tcW w:w="4337"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《山东省老年人权益保障条例》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0" w:hRule="atLeast"/>
          <w:jc w:val="center"/>
        </w:trPr>
        <w:tc>
          <w:tcPr>
            <w:tcW w:w="535" w:type="dxa"/>
            <w:shd w:val="clear" w:color="auto" w:fill="auto"/>
            <w:tcMar>
              <w:top w:w="15" w:type="dxa"/>
              <w:left w:w="15" w:type="dxa"/>
              <w:right w:w="15" w:type="dxa"/>
            </w:tcMar>
            <w:vAlign w:val="center"/>
          </w:tcPr>
          <w:p>
            <w:pPr>
              <w:jc w:val="center"/>
              <w:rPr>
                <w:rFonts w:ascii="新宋体" w:hAnsi="新宋体"/>
                <w:b/>
              </w:rPr>
            </w:pPr>
            <w:r>
              <w:rPr>
                <w:rFonts w:hint="eastAsia" w:ascii="新宋体" w:hAnsi="新宋体"/>
                <w:b/>
              </w:rPr>
              <w:t>12</w:t>
            </w:r>
          </w:p>
        </w:tc>
        <w:tc>
          <w:tcPr>
            <w:tcW w:w="793" w:type="dxa"/>
            <w:vMerge w:val="continue"/>
            <w:shd w:val="clear" w:color="auto" w:fill="auto"/>
            <w:tcMar>
              <w:top w:w="15" w:type="dxa"/>
              <w:left w:w="15" w:type="dxa"/>
              <w:right w:w="15" w:type="dxa"/>
            </w:tcMar>
            <w:vAlign w:val="center"/>
          </w:tcPr>
          <w:p>
            <w:pPr>
              <w:jc w:val="center"/>
              <w:rPr>
                <w:rFonts w:ascii="新宋体" w:hAnsi="新宋体" w:eastAsia="宋体" w:cs="宋体"/>
                <w:b/>
                <w:color w:val="000000"/>
                <w:sz w:val="18"/>
                <w:szCs w:val="18"/>
              </w:rPr>
            </w:pPr>
          </w:p>
        </w:tc>
        <w:tc>
          <w:tcPr>
            <w:tcW w:w="1182" w:type="dxa"/>
            <w:shd w:val="clear" w:color="auto" w:fill="auto"/>
            <w:tcMar>
              <w:top w:w="15" w:type="dxa"/>
              <w:left w:w="15" w:type="dxa"/>
              <w:right w:w="15" w:type="dxa"/>
            </w:tcMar>
            <w:vAlign w:val="center"/>
          </w:tcPr>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老年人</w:t>
            </w:r>
          </w:p>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助餐服务</w:t>
            </w:r>
          </w:p>
        </w:tc>
        <w:tc>
          <w:tcPr>
            <w:tcW w:w="1551" w:type="dxa"/>
            <w:shd w:val="clear" w:color="auto" w:fill="auto"/>
            <w:tcMar>
              <w:top w:w="15" w:type="dxa"/>
              <w:left w:w="15" w:type="dxa"/>
              <w:right w:w="15" w:type="dxa"/>
            </w:tcMar>
            <w:vAlign w:val="center"/>
          </w:tcPr>
          <w:p>
            <w:pPr>
              <w:jc w:val="both"/>
              <w:rPr>
                <w:rFonts w:ascii="新宋体" w:hAnsi="新宋体" w:eastAsia="宋体" w:cs="宋体"/>
                <w:b/>
                <w:color w:val="000000"/>
                <w:sz w:val="18"/>
                <w:szCs w:val="18"/>
              </w:rPr>
            </w:pPr>
            <w:r>
              <w:rPr>
                <w:rFonts w:hint="eastAsia" w:ascii="新宋体" w:hAnsi="新宋体" w:eastAsia="宋体" w:cs="宋体"/>
                <w:b/>
                <w:color w:val="000000"/>
                <w:sz w:val="18"/>
                <w:szCs w:val="18"/>
              </w:rPr>
              <w:t>60周岁及以上老年人</w:t>
            </w:r>
          </w:p>
        </w:tc>
        <w:tc>
          <w:tcPr>
            <w:tcW w:w="3614" w:type="dxa"/>
            <w:shd w:val="clear" w:color="auto" w:fill="auto"/>
            <w:tcMar>
              <w:top w:w="15" w:type="dxa"/>
              <w:left w:w="15" w:type="dxa"/>
              <w:right w:w="15" w:type="dxa"/>
            </w:tcMar>
            <w:vAlign w:val="center"/>
          </w:tcPr>
          <w:p>
            <w:pPr>
              <w:ind w:firstLine="361" w:firstLineChars="200"/>
              <w:jc w:val="both"/>
              <w:rPr>
                <w:rFonts w:ascii="新宋体" w:hAnsi="新宋体" w:eastAsia="宋体" w:cs="宋体"/>
                <w:b/>
                <w:color w:val="000000"/>
                <w:sz w:val="18"/>
                <w:szCs w:val="18"/>
              </w:rPr>
            </w:pPr>
            <w:r>
              <w:rPr>
                <w:rFonts w:hint="eastAsia" w:ascii="新宋体" w:hAnsi="新宋体" w:eastAsia="宋体" w:cs="宋体"/>
                <w:b/>
                <w:color w:val="000000"/>
                <w:sz w:val="18"/>
                <w:szCs w:val="18"/>
              </w:rPr>
              <w:t>贯彻落实《关于推进长者助餐工作的实施意见（试行）》济民发〔2020〕32 号，通过集中就餐、集中配餐等方式，重点解决高龄、孤寡、独居、空巢老人就餐难问题，同时积极为其他老年人提供就餐服务。 60 周岁以上老年人在助餐站点选择标准型或自助型餐品，享受优惠或补助。</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区民政局、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区财政局、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区市场监管局、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各街道、功能区</w:t>
            </w:r>
          </w:p>
        </w:tc>
        <w:tc>
          <w:tcPr>
            <w:tcW w:w="4337" w:type="dxa"/>
            <w:shd w:val="clear" w:color="auto" w:fill="auto"/>
            <w:tcMar>
              <w:top w:w="15" w:type="dxa"/>
              <w:left w:w="15" w:type="dxa"/>
              <w:right w:w="15" w:type="dxa"/>
            </w:tcMar>
            <w:vAlign w:val="center"/>
          </w:tcPr>
          <w:p>
            <w:pPr>
              <w:jc w:val="both"/>
              <w:textAlignment w:val="center"/>
              <w:rPr>
                <w:rFonts w:ascii="新宋体" w:hAnsi="新宋体"/>
                <w:b/>
              </w:rPr>
            </w:pPr>
            <w:r>
              <w:rPr>
                <w:rFonts w:hint="eastAsia" w:ascii="新宋体" w:hAnsi="新宋体" w:eastAsia="宋体" w:cs="宋体"/>
                <w:b/>
                <w:color w:val="000000"/>
                <w:sz w:val="18"/>
                <w:szCs w:val="18"/>
              </w:rPr>
              <w:t>《济南市人民政府办公厅关于加快推进养老服务发展的实施意见》（济政办发〔2020〕7 号）、《关于推进长者助餐工作的实施意见（试行）》（济民发〔2020〕32 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5" w:hRule="atLeast"/>
          <w:jc w:val="center"/>
        </w:trPr>
        <w:tc>
          <w:tcPr>
            <w:tcW w:w="535" w:type="dxa"/>
            <w:shd w:val="clear" w:color="auto" w:fill="auto"/>
            <w:tcMar>
              <w:top w:w="15" w:type="dxa"/>
              <w:left w:w="15" w:type="dxa"/>
              <w:right w:w="15" w:type="dxa"/>
            </w:tcMar>
            <w:vAlign w:val="center"/>
          </w:tcPr>
          <w:p>
            <w:pPr>
              <w:jc w:val="center"/>
              <w:rPr>
                <w:rFonts w:ascii="新宋体" w:hAnsi="新宋体"/>
                <w:b/>
              </w:rPr>
            </w:pPr>
            <w:r>
              <w:rPr>
                <w:rFonts w:hint="eastAsia" w:ascii="新宋体" w:hAnsi="新宋体"/>
                <w:b/>
              </w:rPr>
              <w:t>13</w:t>
            </w:r>
          </w:p>
        </w:tc>
        <w:tc>
          <w:tcPr>
            <w:tcW w:w="793" w:type="dxa"/>
            <w:vMerge w:val="continue"/>
            <w:shd w:val="clear" w:color="auto" w:fill="auto"/>
            <w:tcMar>
              <w:top w:w="15" w:type="dxa"/>
              <w:left w:w="15" w:type="dxa"/>
              <w:right w:w="15" w:type="dxa"/>
            </w:tcMar>
            <w:vAlign w:val="center"/>
          </w:tcPr>
          <w:p>
            <w:pPr>
              <w:jc w:val="center"/>
              <w:rPr>
                <w:rFonts w:ascii="新宋体" w:hAnsi="新宋体" w:eastAsia="宋体" w:cs="宋体"/>
                <w:b/>
                <w:color w:val="000000"/>
                <w:sz w:val="18"/>
                <w:szCs w:val="18"/>
              </w:rPr>
            </w:pPr>
          </w:p>
        </w:tc>
        <w:tc>
          <w:tcPr>
            <w:tcW w:w="1182" w:type="dxa"/>
            <w:shd w:val="clear" w:color="auto" w:fill="auto"/>
            <w:tcMar>
              <w:top w:w="15" w:type="dxa"/>
              <w:left w:w="15" w:type="dxa"/>
              <w:right w:w="15" w:type="dxa"/>
            </w:tcMar>
            <w:vAlign w:val="center"/>
          </w:tcPr>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建立社区</w:t>
            </w:r>
          </w:p>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“养老顾问”</w:t>
            </w:r>
          </w:p>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制度</w:t>
            </w:r>
          </w:p>
        </w:tc>
        <w:tc>
          <w:tcPr>
            <w:tcW w:w="1551" w:type="dxa"/>
            <w:shd w:val="clear" w:color="auto" w:fill="auto"/>
            <w:tcMar>
              <w:top w:w="15" w:type="dxa"/>
              <w:left w:w="15" w:type="dxa"/>
              <w:right w:w="15" w:type="dxa"/>
            </w:tcMar>
            <w:vAlign w:val="center"/>
          </w:tcPr>
          <w:p>
            <w:pPr>
              <w:jc w:val="both"/>
              <w:rPr>
                <w:rFonts w:ascii="新宋体" w:hAnsi="新宋体" w:eastAsia="宋体" w:cs="宋体"/>
                <w:b/>
                <w:color w:val="000000"/>
                <w:sz w:val="18"/>
                <w:szCs w:val="18"/>
              </w:rPr>
            </w:pPr>
            <w:r>
              <w:rPr>
                <w:rFonts w:hint="eastAsia" w:ascii="新宋体" w:hAnsi="新宋体" w:eastAsia="宋体" w:cs="宋体"/>
                <w:b/>
                <w:color w:val="000000"/>
                <w:sz w:val="18"/>
                <w:szCs w:val="18"/>
              </w:rPr>
              <w:t>60周岁及以上老年人</w:t>
            </w:r>
          </w:p>
        </w:tc>
        <w:tc>
          <w:tcPr>
            <w:tcW w:w="3614" w:type="dxa"/>
            <w:shd w:val="clear" w:color="auto" w:fill="auto"/>
            <w:tcMar>
              <w:top w:w="15" w:type="dxa"/>
              <w:left w:w="15" w:type="dxa"/>
              <w:right w:w="15" w:type="dxa"/>
            </w:tcMar>
            <w:vAlign w:val="center"/>
          </w:tcPr>
          <w:p>
            <w:pPr>
              <w:ind w:firstLine="361" w:firstLineChars="200"/>
              <w:jc w:val="both"/>
              <w:rPr>
                <w:rFonts w:ascii="新宋体" w:hAnsi="新宋体" w:eastAsia="宋体" w:cs="宋体"/>
                <w:b/>
                <w:color w:val="000000"/>
                <w:sz w:val="18"/>
                <w:szCs w:val="18"/>
                <w:highlight w:val="yellow"/>
              </w:rPr>
            </w:pPr>
            <w:r>
              <w:rPr>
                <w:rFonts w:hint="eastAsia" w:ascii="新宋体" w:hAnsi="新宋体" w:eastAsia="宋体" w:cs="宋体"/>
                <w:b/>
                <w:color w:val="000000"/>
                <w:sz w:val="18"/>
                <w:szCs w:val="18"/>
              </w:rPr>
              <w:t>重点在街道综合养老服务中心、日间照料中心、幸福院等场所，向老年人提供政策宣传和养老服务业务办理咨询等。并支持有资质的社会组织接受特殊老年人委托，依法代办入住养老机构、就医等事务。</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区民政局、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各街道、功能区</w:t>
            </w:r>
          </w:p>
        </w:tc>
        <w:tc>
          <w:tcPr>
            <w:tcW w:w="4337"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《济南市人民政府办公厅关于加快推进养老服务发展的实施意见》（济政办发〔2020〕7 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81" w:hRule="atLeast"/>
          <w:jc w:val="center"/>
        </w:trPr>
        <w:tc>
          <w:tcPr>
            <w:tcW w:w="535" w:type="dxa"/>
            <w:shd w:val="clear" w:color="auto" w:fill="auto"/>
            <w:tcMar>
              <w:top w:w="15" w:type="dxa"/>
              <w:left w:w="15" w:type="dxa"/>
              <w:right w:w="15" w:type="dxa"/>
            </w:tcMar>
            <w:vAlign w:val="center"/>
          </w:tcPr>
          <w:p>
            <w:pPr>
              <w:jc w:val="center"/>
              <w:rPr>
                <w:rFonts w:ascii="新宋体" w:hAnsi="新宋体"/>
                <w:b/>
              </w:rPr>
            </w:pPr>
            <w:r>
              <w:rPr>
                <w:rFonts w:hint="eastAsia" w:ascii="新宋体" w:hAnsi="新宋体"/>
                <w:b/>
              </w:rPr>
              <w:t>14</w:t>
            </w:r>
          </w:p>
        </w:tc>
        <w:tc>
          <w:tcPr>
            <w:tcW w:w="793" w:type="dxa"/>
            <w:vMerge w:val="continue"/>
            <w:shd w:val="clear" w:color="auto" w:fill="auto"/>
            <w:tcMar>
              <w:top w:w="15" w:type="dxa"/>
              <w:left w:w="15" w:type="dxa"/>
              <w:right w:w="15" w:type="dxa"/>
            </w:tcMar>
            <w:vAlign w:val="center"/>
          </w:tcPr>
          <w:p>
            <w:pPr>
              <w:jc w:val="center"/>
              <w:rPr>
                <w:rFonts w:ascii="新宋体" w:hAnsi="新宋体" w:eastAsia="宋体" w:cs="宋体"/>
                <w:b/>
                <w:color w:val="000000"/>
                <w:sz w:val="18"/>
                <w:szCs w:val="18"/>
              </w:rPr>
            </w:pPr>
          </w:p>
        </w:tc>
        <w:tc>
          <w:tcPr>
            <w:tcW w:w="1182" w:type="dxa"/>
            <w:shd w:val="clear" w:color="auto" w:fill="auto"/>
            <w:tcMar>
              <w:top w:w="15" w:type="dxa"/>
              <w:left w:w="15" w:type="dxa"/>
              <w:right w:w="15" w:type="dxa"/>
            </w:tcMar>
            <w:vAlign w:val="center"/>
          </w:tcPr>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试点推动</w:t>
            </w:r>
          </w:p>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养老服务</w:t>
            </w:r>
          </w:p>
          <w:p>
            <w:pPr>
              <w:jc w:val="center"/>
              <w:rPr>
                <w:rFonts w:ascii="新宋体" w:hAnsi="新宋体" w:eastAsia="宋体" w:cs="宋体"/>
                <w:b/>
                <w:color w:val="000000"/>
                <w:sz w:val="18"/>
                <w:szCs w:val="18"/>
              </w:rPr>
            </w:pPr>
            <w:r>
              <w:rPr>
                <w:rFonts w:hint="eastAsia" w:ascii="新宋体" w:hAnsi="新宋体" w:eastAsia="宋体" w:cs="宋体"/>
                <w:b/>
                <w:color w:val="000000"/>
                <w:sz w:val="18"/>
                <w:szCs w:val="18"/>
              </w:rPr>
              <w:t>“时间银行”</w:t>
            </w:r>
          </w:p>
        </w:tc>
        <w:tc>
          <w:tcPr>
            <w:tcW w:w="1551" w:type="dxa"/>
            <w:shd w:val="clear" w:color="auto" w:fill="auto"/>
            <w:tcMar>
              <w:top w:w="15" w:type="dxa"/>
              <w:left w:w="15" w:type="dxa"/>
              <w:right w:w="15" w:type="dxa"/>
            </w:tcMar>
            <w:vAlign w:val="center"/>
          </w:tcPr>
          <w:p>
            <w:pPr>
              <w:jc w:val="both"/>
              <w:rPr>
                <w:rFonts w:ascii="新宋体" w:hAnsi="新宋体" w:eastAsia="宋体" w:cs="宋体"/>
                <w:b/>
                <w:color w:val="000000"/>
                <w:sz w:val="18"/>
                <w:szCs w:val="18"/>
              </w:rPr>
            </w:pPr>
            <w:r>
              <w:rPr>
                <w:rFonts w:hint="eastAsia" w:ascii="新宋体" w:hAnsi="新宋体" w:eastAsia="宋体" w:cs="宋体"/>
                <w:b/>
                <w:color w:val="000000"/>
                <w:sz w:val="18"/>
                <w:szCs w:val="18"/>
              </w:rPr>
              <w:t>60周岁及以上老年人</w:t>
            </w:r>
          </w:p>
        </w:tc>
        <w:tc>
          <w:tcPr>
            <w:tcW w:w="3614" w:type="dxa"/>
            <w:shd w:val="clear" w:color="auto" w:fill="auto"/>
            <w:tcMar>
              <w:top w:w="15" w:type="dxa"/>
              <w:left w:w="15" w:type="dxa"/>
              <w:right w:w="15" w:type="dxa"/>
            </w:tcMar>
            <w:vAlign w:val="center"/>
          </w:tcPr>
          <w:p>
            <w:pPr>
              <w:ind w:firstLine="361" w:firstLineChars="200"/>
              <w:jc w:val="both"/>
              <w:rPr>
                <w:rFonts w:ascii="新宋体" w:hAnsi="新宋体" w:eastAsia="宋体" w:cs="宋体"/>
                <w:b/>
                <w:color w:val="000000"/>
                <w:sz w:val="18"/>
                <w:szCs w:val="18"/>
              </w:rPr>
            </w:pPr>
            <w:r>
              <w:rPr>
                <w:rFonts w:hint="eastAsia" w:ascii="新宋体" w:hAnsi="新宋体" w:eastAsia="宋体" w:cs="宋体"/>
                <w:b/>
                <w:color w:val="000000"/>
                <w:sz w:val="18"/>
                <w:szCs w:val="18"/>
              </w:rPr>
              <w:t>开展养老服务“时间银行”试点工作，开发全市统一的“时间银行”应用系统，建立为老服务志愿者、 老人服务需求和为老志愿服务数据库,重点开展好社区助老志愿服务，逐步实现“时间银行”全市范围全覆盖。</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区民政局、</w:t>
            </w:r>
          </w:p>
          <w:p>
            <w:pPr>
              <w:jc w:val="center"/>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各街道、功能区</w:t>
            </w:r>
          </w:p>
        </w:tc>
        <w:tc>
          <w:tcPr>
            <w:tcW w:w="4337" w:type="dxa"/>
            <w:shd w:val="clear" w:color="auto" w:fill="auto"/>
            <w:tcMar>
              <w:top w:w="15" w:type="dxa"/>
              <w:left w:w="15" w:type="dxa"/>
              <w:right w:w="15" w:type="dxa"/>
            </w:tcMar>
            <w:vAlign w:val="center"/>
          </w:tcPr>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《济南市人民政府办公厅关于加快推进养老服务发</w:t>
            </w:r>
          </w:p>
          <w:p>
            <w:pPr>
              <w:jc w:val="both"/>
              <w:textAlignment w:val="center"/>
              <w:rPr>
                <w:rFonts w:ascii="新宋体" w:hAnsi="新宋体" w:eastAsia="宋体" w:cs="宋体"/>
                <w:b/>
                <w:color w:val="000000"/>
                <w:sz w:val="18"/>
                <w:szCs w:val="18"/>
              </w:rPr>
            </w:pPr>
            <w:r>
              <w:rPr>
                <w:rFonts w:hint="eastAsia" w:ascii="新宋体" w:hAnsi="新宋体" w:eastAsia="宋体" w:cs="宋体"/>
                <w:b/>
                <w:color w:val="000000"/>
                <w:sz w:val="18"/>
                <w:szCs w:val="18"/>
              </w:rPr>
              <w:t>展的实施意见》（济政办发〔2020〕7 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0"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eastAsia="黑体" w:cstheme="minorEastAsia"/>
                <w:b/>
                <w:color w:val="000000"/>
                <w:sz w:val="18"/>
                <w:szCs w:val="18"/>
              </w:rPr>
            </w:pPr>
            <w:r>
              <w:rPr>
                <w:rFonts w:hint="eastAsia" w:ascii="新宋体" w:hAnsi="新宋体" w:eastAsia="黑体" w:cs="宋体"/>
                <w:b/>
                <w:color w:val="000000"/>
                <w:sz w:val="18"/>
                <w:szCs w:val="18"/>
              </w:rPr>
              <w:t>序号</w:t>
            </w:r>
          </w:p>
        </w:tc>
        <w:tc>
          <w:tcPr>
            <w:tcW w:w="793" w:type="dxa"/>
            <w:shd w:val="clear" w:color="auto" w:fill="auto"/>
            <w:tcMar>
              <w:top w:w="15" w:type="dxa"/>
              <w:left w:w="15" w:type="dxa"/>
              <w:right w:w="15" w:type="dxa"/>
            </w:tcMar>
            <w:vAlign w:val="center"/>
          </w:tcPr>
          <w:p>
            <w:pPr>
              <w:jc w:val="center"/>
              <w:textAlignment w:val="center"/>
              <w:rPr>
                <w:rFonts w:ascii="新宋体" w:hAnsi="新宋体" w:eastAsia="黑体" w:cstheme="minorEastAsia"/>
                <w:b/>
                <w:color w:val="000000"/>
                <w:sz w:val="18"/>
                <w:szCs w:val="18"/>
              </w:rPr>
            </w:pPr>
            <w:r>
              <w:rPr>
                <w:rFonts w:hint="eastAsia" w:ascii="新宋体" w:hAnsi="新宋体" w:eastAsia="黑体" w:cs="宋体"/>
                <w:b/>
                <w:color w:val="000000"/>
                <w:sz w:val="18"/>
                <w:szCs w:val="18"/>
              </w:rPr>
              <w:t>类别</w:t>
            </w:r>
          </w:p>
        </w:tc>
        <w:tc>
          <w:tcPr>
            <w:tcW w:w="1182" w:type="dxa"/>
            <w:shd w:val="clear" w:color="auto" w:fill="auto"/>
            <w:tcMar>
              <w:top w:w="15" w:type="dxa"/>
              <w:left w:w="15" w:type="dxa"/>
              <w:right w:w="15" w:type="dxa"/>
            </w:tcMar>
            <w:vAlign w:val="center"/>
          </w:tcPr>
          <w:p>
            <w:pPr>
              <w:jc w:val="center"/>
              <w:textAlignment w:val="center"/>
              <w:rPr>
                <w:rFonts w:ascii="新宋体" w:hAnsi="新宋体" w:eastAsia="黑体" w:cstheme="minorEastAsia"/>
                <w:b/>
                <w:color w:val="000000"/>
                <w:sz w:val="18"/>
                <w:szCs w:val="18"/>
              </w:rPr>
            </w:pPr>
            <w:r>
              <w:rPr>
                <w:rFonts w:hint="eastAsia" w:ascii="新宋体" w:hAnsi="新宋体" w:eastAsia="黑体" w:cs="宋体"/>
                <w:b/>
                <w:color w:val="000000"/>
                <w:sz w:val="18"/>
                <w:szCs w:val="18"/>
              </w:rPr>
              <w:t>服务项目</w:t>
            </w:r>
          </w:p>
        </w:tc>
        <w:tc>
          <w:tcPr>
            <w:tcW w:w="1551" w:type="dxa"/>
            <w:shd w:val="clear" w:color="auto" w:fill="auto"/>
            <w:tcMar>
              <w:top w:w="15" w:type="dxa"/>
              <w:left w:w="15" w:type="dxa"/>
              <w:right w:w="15" w:type="dxa"/>
            </w:tcMar>
            <w:vAlign w:val="center"/>
          </w:tcPr>
          <w:p>
            <w:pPr>
              <w:jc w:val="center"/>
              <w:textAlignment w:val="center"/>
              <w:rPr>
                <w:rFonts w:ascii="新宋体" w:hAnsi="新宋体" w:eastAsia="黑体" w:cstheme="minorEastAsia"/>
                <w:b/>
                <w:color w:val="000000"/>
                <w:sz w:val="18"/>
                <w:szCs w:val="18"/>
              </w:rPr>
            </w:pPr>
            <w:r>
              <w:rPr>
                <w:rFonts w:hint="eastAsia" w:ascii="新宋体" w:hAnsi="新宋体" w:eastAsia="黑体" w:cs="宋体"/>
                <w:b/>
                <w:color w:val="000000"/>
                <w:sz w:val="18"/>
                <w:szCs w:val="18"/>
              </w:rPr>
              <w:t>服务对象</w:t>
            </w:r>
          </w:p>
        </w:tc>
        <w:tc>
          <w:tcPr>
            <w:tcW w:w="3614" w:type="dxa"/>
            <w:shd w:val="clear" w:color="auto" w:fill="auto"/>
            <w:tcMar>
              <w:top w:w="15" w:type="dxa"/>
              <w:left w:w="15" w:type="dxa"/>
              <w:right w:w="15" w:type="dxa"/>
            </w:tcMar>
            <w:vAlign w:val="center"/>
          </w:tcPr>
          <w:p>
            <w:pPr>
              <w:jc w:val="center"/>
              <w:textAlignment w:val="center"/>
              <w:rPr>
                <w:rFonts w:ascii="新宋体" w:hAnsi="新宋体" w:eastAsia="黑体" w:cstheme="minorEastAsia"/>
                <w:b/>
                <w:color w:val="000000"/>
                <w:sz w:val="18"/>
                <w:szCs w:val="18"/>
              </w:rPr>
            </w:pPr>
            <w:r>
              <w:rPr>
                <w:rFonts w:hint="eastAsia" w:ascii="新宋体" w:hAnsi="新宋体" w:eastAsia="黑体" w:cs="宋体"/>
                <w:b/>
                <w:color w:val="000000"/>
                <w:sz w:val="18"/>
                <w:szCs w:val="18"/>
              </w:rPr>
              <w:t>服务内容及标准</w:t>
            </w:r>
          </w:p>
        </w:tc>
        <w:tc>
          <w:tcPr>
            <w:tcW w:w="1596" w:type="dxa"/>
            <w:shd w:val="clear" w:color="auto" w:fill="auto"/>
            <w:tcMar>
              <w:top w:w="15" w:type="dxa"/>
              <w:left w:w="15" w:type="dxa"/>
              <w:right w:w="15" w:type="dxa"/>
            </w:tcMar>
            <w:vAlign w:val="center"/>
          </w:tcPr>
          <w:p>
            <w:pPr>
              <w:jc w:val="center"/>
              <w:textAlignment w:val="center"/>
              <w:rPr>
                <w:rFonts w:ascii="新宋体" w:hAnsi="新宋体" w:eastAsia="黑体" w:cstheme="minorEastAsia"/>
                <w:b/>
                <w:color w:val="000000"/>
                <w:sz w:val="18"/>
                <w:szCs w:val="18"/>
              </w:rPr>
            </w:pPr>
            <w:r>
              <w:rPr>
                <w:rFonts w:hint="eastAsia" w:ascii="新宋体" w:hAnsi="新宋体" w:eastAsia="黑体" w:cs="宋体"/>
                <w:b/>
                <w:color w:val="000000"/>
                <w:sz w:val="18"/>
                <w:szCs w:val="18"/>
              </w:rPr>
              <w:t>责任主体</w:t>
            </w:r>
          </w:p>
        </w:tc>
        <w:tc>
          <w:tcPr>
            <w:tcW w:w="4337" w:type="dxa"/>
            <w:shd w:val="clear" w:color="auto" w:fill="auto"/>
            <w:tcMar>
              <w:top w:w="15" w:type="dxa"/>
              <w:left w:w="15" w:type="dxa"/>
              <w:right w:w="15" w:type="dxa"/>
            </w:tcMar>
            <w:vAlign w:val="center"/>
          </w:tcPr>
          <w:p>
            <w:pPr>
              <w:jc w:val="center"/>
              <w:textAlignment w:val="center"/>
              <w:rPr>
                <w:rFonts w:ascii="新宋体" w:hAnsi="新宋体" w:eastAsia="黑体" w:cstheme="minorEastAsia"/>
                <w:b/>
                <w:color w:val="000000"/>
                <w:sz w:val="18"/>
                <w:szCs w:val="18"/>
              </w:rPr>
            </w:pPr>
            <w:r>
              <w:rPr>
                <w:rFonts w:hint="eastAsia" w:ascii="新宋体" w:hAnsi="新宋体" w:eastAsia="黑体" w:cs="宋体"/>
                <w:b/>
                <w:color w:val="000000"/>
                <w:sz w:val="18"/>
                <w:szCs w:val="18"/>
              </w:rPr>
              <w:t>政策依据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05"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15</w:t>
            </w:r>
          </w:p>
        </w:tc>
        <w:tc>
          <w:tcPr>
            <w:tcW w:w="793" w:type="dxa"/>
            <w:vMerge w:val="restart"/>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养老服务优惠扶持项目</w:t>
            </w:r>
          </w:p>
        </w:tc>
        <w:tc>
          <w:tcPr>
            <w:tcW w:w="1182"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养老服务</w:t>
            </w:r>
          </w:p>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资金安排</w:t>
            </w:r>
          </w:p>
        </w:tc>
        <w:tc>
          <w:tcPr>
            <w:tcW w:w="1551" w:type="dxa"/>
            <w:shd w:val="clear" w:color="auto" w:fill="auto"/>
            <w:tcMar>
              <w:top w:w="15" w:type="dxa"/>
              <w:left w:w="15" w:type="dxa"/>
              <w:right w:w="15" w:type="dxa"/>
            </w:tcMar>
            <w:vAlign w:val="center"/>
          </w:tcPr>
          <w:p>
            <w:pPr>
              <w:jc w:val="both"/>
              <w:textAlignment w:val="center"/>
              <w:rPr>
                <w:rFonts w:ascii="新宋体" w:hAnsi="新宋体" w:cstheme="minorEastAsia"/>
                <w:b/>
                <w:w w:val="91"/>
                <w:sz w:val="18"/>
                <w:szCs w:val="18"/>
              </w:rPr>
            </w:pPr>
            <w:r>
              <w:rPr>
                <w:rFonts w:hint="eastAsia" w:ascii="新宋体" w:hAnsi="新宋体" w:cstheme="minorEastAsia"/>
                <w:b/>
                <w:color w:val="000000"/>
                <w:sz w:val="18"/>
                <w:szCs w:val="18"/>
              </w:rPr>
              <w:t xml:space="preserve">符合条件的养老服务项目和机构 </w:t>
            </w:r>
          </w:p>
        </w:tc>
        <w:tc>
          <w:tcPr>
            <w:tcW w:w="3614" w:type="dxa"/>
            <w:shd w:val="clear" w:color="auto" w:fill="auto"/>
            <w:tcMar>
              <w:top w:w="15" w:type="dxa"/>
              <w:left w:w="15" w:type="dxa"/>
              <w:right w:w="15" w:type="dxa"/>
            </w:tcMar>
            <w:vAlign w:val="center"/>
          </w:tcPr>
          <w:p>
            <w:pPr>
              <w:ind w:firstLine="361" w:firstLineChars="200"/>
              <w:jc w:val="both"/>
              <w:textAlignment w:val="center"/>
              <w:rPr>
                <w:rFonts w:ascii="新宋体" w:hAnsi="新宋体" w:cstheme="minorEastAsia"/>
                <w:b/>
                <w:w w:val="91"/>
                <w:sz w:val="18"/>
                <w:szCs w:val="18"/>
              </w:rPr>
            </w:pPr>
            <w:r>
              <w:rPr>
                <w:rFonts w:hint="eastAsia" w:ascii="新宋体" w:hAnsi="新宋体" w:cstheme="minorEastAsia"/>
                <w:b/>
                <w:color w:val="000000"/>
                <w:sz w:val="18"/>
                <w:szCs w:val="18"/>
              </w:rPr>
              <w:t>区级以上人民政府应当设立养老服务专项资金，各级留成的福利彩票公益金，按照国家和省、 市、县规定的比例用于支持发展养老服务。</w:t>
            </w:r>
          </w:p>
        </w:tc>
        <w:tc>
          <w:tcPr>
            <w:tcW w:w="1596"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区民政局、</w:t>
            </w:r>
          </w:p>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区财政局</w:t>
            </w:r>
          </w:p>
        </w:tc>
        <w:tc>
          <w:tcPr>
            <w:tcW w:w="4337" w:type="dxa"/>
            <w:shd w:val="clear" w:color="auto" w:fill="auto"/>
            <w:tcMar>
              <w:top w:w="15" w:type="dxa"/>
              <w:left w:w="15" w:type="dxa"/>
              <w:right w:w="15" w:type="dxa"/>
            </w:tcMar>
            <w:vAlign w:val="center"/>
          </w:tcPr>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《山东省养老服务条例》、《山东省人民政府办公</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厅关于推进养老服务发展的实施意见》（鲁政办发</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〔2019〕31 号）、《济南市人民政府办公厅关于加</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快推进养老服务发展的实施意见》（济政办发〔2020〕</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 xml:space="preserve">7 号）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05"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16</w:t>
            </w:r>
          </w:p>
        </w:tc>
        <w:tc>
          <w:tcPr>
            <w:tcW w:w="793" w:type="dxa"/>
            <w:vMerge w:val="continue"/>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p>
        </w:tc>
        <w:tc>
          <w:tcPr>
            <w:tcW w:w="1182"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养老服务</w:t>
            </w:r>
          </w:p>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机构奖补</w:t>
            </w:r>
          </w:p>
        </w:tc>
        <w:tc>
          <w:tcPr>
            <w:tcW w:w="1551" w:type="dxa"/>
            <w:shd w:val="clear" w:color="auto" w:fill="auto"/>
            <w:tcMar>
              <w:top w:w="15" w:type="dxa"/>
              <w:left w:w="15" w:type="dxa"/>
              <w:right w:w="15" w:type="dxa"/>
            </w:tcMar>
            <w:vAlign w:val="center"/>
          </w:tcPr>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 xml:space="preserve">符合条件的养老服务项目和机构 </w:t>
            </w:r>
          </w:p>
        </w:tc>
        <w:tc>
          <w:tcPr>
            <w:tcW w:w="3614" w:type="dxa"/>
            <w:shd w:val="clear" w:color="auto" w:fill="auto"/>
            <w:tcMar>
              <w:top w:w="15" w:type="dxa"/>
              <w:left w:w="15" w:type="dxa"/>
              <w:right w:w="15" w:type="dxa"/>
            </w:tcMar>
            <w:vAlign w:val="center"/>
          </w:tcPr>
          <w:p>
            <w:pPr>
              <w:ind w:firstLine="361" w:firstLineChars="200"/>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按照《山东省民政厅 山东省财政厅关于印发〈山东省养老服务业省级专项资金补助项目实施方案〉的通知》（鲁民〔2016〕44 号）和《济南市支持养老服务体系建设专项资金补助实施细则》（济民发〔2019〕5 号）文件规定，发放一次性建设补助、开办补助或运营补助。</w:t>
            </w:r>
          </w:p>
        </w:tc>
        <w:tc>
          <w:tcPr>
            <w:tcW w:w="1596"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区民政局、</w:t>
            </w:r>
          </w:p>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区</w:t>
            </w:r>
            <w:bookmarkStart w:id="7" w:name="_GoBack"/>
            <w:bookmarkEnd w:id="7"/>
            <w:r>
              <w:rPr>
                <w:rFonts w:hint="eastAsia" w:ascii="新宋体" w:hAnsi="新宋体" w:cstheme="minorEastAsia"/>
                <w:b/>
                <w:color w:val="000000"/>
                <w:sz w:val="18"/>
                <w:szCs w:val="18"/>
              </w:rPr>
              <w:t>财政局</w:t>
            </w:r>
          </w:p>
        </w:tc>
        <w:tc>
          <w:tcPr>
            <w:tcW w:w="4337" w:type="dxa"/>
            <w:shd w:val="clear" w:color="auto" w:fill="auto"/>
            <w:tcMar>
              <w:top w:w="15" w:type="dxa"/>
              <w:left w:w="15" w:type="dxa"/>
              <w:right w:w="15" w:type="dxa"/>
            </w:tcMar>
            <w:vAlign w:val="center"/>
          </w:tcPr>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《山东省民政厅 山东省财政厅关于印发〈山东省养</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老服务业省级专项资金补助项目实施方案〉的通知》</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（鲁民〔2016〕44 号）、济南市支持养老服务体系建</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 xml:space="preserve">设专项资金补助实施细则》（济民发〔2019〕5 号） </w:t>
            </w:r>
          </w:p>
          <w:p>
            <w:pPr>
              <w:jc w:val="both"/>
              <w:textAlignment w:val="center"/>
              <w:rPr>
                <w:rFonts w:ascii="新宋体" w:hAnsi="新宋体" w:cstheme="minorEastAsia"/>
                <w:b/>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05"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17</w:t>
            </w:r>
          </w:p>
        </w:tc>
        <w:tc>
          <w:tcPr>
            <w:tcW w:w="793" w:type="dxa"/>
            <w:vMerge w:val="continue"/>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p>
        </w:tc>
        <w:tc>
          <w:tcPr>
            <w:tcW w:w="1182"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养老服务</w:t>
            </w:r>
          </w:p>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机构税费减免</w:t>
            </w:r>
          </w:p>
        </w:tc>
        <w:tc>
          <w:tcPr>
            <w:tcW w:w="1551" w:type="dxa"/>
            <w:shd w:val="clear" w:color="auto" w:fill="auto"/>
            <w:tcMar>
              <w:top w:w="15" w:type="dxa"/>
              <w:left w:w="15" w:type="dxa"/>
              <w:right w:w="15" w:type="dxa"/>
            </w:tcMar>
            <w:vAlign w:val="center"/>
          </w:tcPr>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 xml:space="preserve">符合条件的养老服务机构 </w:t>
            </w:r>
          </w:p>
        </w:tc>
        <w:tc>
          <w:tcPr>
            <w:tcW w:w="3614" w:type="dxa"/>
            <w:shd w:val="clear" w:color="auto" w:fill="auto"/>
            <w:tcMar>
              <w:top w:w="15" w:type="dxa"/>
              <w:left w:w="15" w:type="dxa"/>
              <w:right w:w="15" w:type="dxa"/>
            </w:tcMar>
            <w:vAlign w:val="center"/>
          </w:tcPr>
          <w:p>
            <w:pPr>
              <w:ind w:firstLine="361" w:firstLineChars="200"/>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按照国家和省有关规定，养老服务组织享受税收优惠和行政事业性收费减免政策，生活用水、用电、用气、用热执行居民价格。</w:t>
            </w:r>
          </w:p>
        </w:tc>
        <w:tc>
          <w:tcPr>
            <w:tcW w:w="1596"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区发展和改革局、区财政局、</w:t>
            </w:r>
          </w:p>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区税务局</w:t>
            </w:r>
          </w:p>
        </w:tc>
        <w:tc>
          <w:tcPr>
            <w:tcW w:w="4337" w:type="dxa"/>
            <w:shd w:val="clear" w:color="auto" w:fill="auto"/>
            <w:tcMar>
              <w:top w:w="15" w:type="dxa"/>
              <w:left w:w="15" w:type="dxa"/>
              <w:right w:w="15" w:type="dxa"/>
            </w:tcMar>
            <w:vAlign w:val="center"/>
          </w:tcPr>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《山东省养老服务条例》、《济南市人民政府办公</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厅关于加快推进养老服务发展的实施意见》（济政</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办发〔2020〕7 号）、《关于切实抓好养老服务场所</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水电气暖价格优惠政策落实的通知》（济民发〔2020〕</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 xml:space="preserve">18 号）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05"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18</w:t>
            </w:r>
          </w:p>
        </w:tc>
        <w:tc>
          <w:tcPr>
            <w:tcW w:w="793" w:type="dxa"/>
            <w:vMerge w:val="restart"/>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 xml:space="preserve">养老服务优惠扶持 </w:t>
            </w:r>
          </w:p>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项目</w:t>
            </w:r>
          </w:p>
        </w:tc>
        <w:tc>
          <w:tcPr>
            <w:tcW w:w="1182"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社区养老</w:t>
            </w:r>
          </w:p>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服务设施配建</w:t>
            </w:r>
          </w:p>
        </w:tc>
        <w:tc>
          <w:tcPr>
            <w:tcW w:w="1551" w:type="dxa"/>
            <w:shd w:val="clear" w:color="auto" w:fill="auto"/>
            <w:tcMar>
              <w:top w:w="15" w:type="dxa"/>
              <w:left w:w="15" w:type="dxa"/>
              <w:right w:w="15" w:type="dxa"/>
            </w:tcMar>
            <w:vAlign w:val="center"/>
          </w:tcPr>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60 周岁及以上老年人</w:t>
            </w:r>
          </w:p>
        </w:tc>
        <w:tc>
          <w:tcPr>
            <w:tcW w:w="3614" w:type="dxa"/>
            <w:shd w:val="clear" w:color="auto" w:fill="auto"/>
            <w:tcMar>
              <w:top w:w="15" w:type="dxa"/>
              <w:left w:w="15" w:type="dxa"/>
              <w:right w:w="15" w:type="dxa"/>
            </w:tcMar>
            <w:vAlign w:val="center"/>
          </w:tcPr>
          <w:p>
            <w:pPr>
              <w:ind w:firstLine="361" w:firstLineChars="200"/>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新建城镇居住区按照 100 平方米/每千人的标准配套建设社区养老服务设施；老旧小区通过购、置换、租赁等方式，按 80 平方米/每千人的标准调剂解决。</w:t>
            </w:r>
          </w:p>
        </w:tc>
        <w:tc>
          <w:tcPr>
            <w:tcW w:w="1596" w:type="dxa"/>
            <w:shd w:val="clear" w:color="auto" w:fill="auto"/>
            <w:tcMar>
              <w:top w:w="15" w:type="dxa"/>
              <w:left w:w="15" w:type="dxa"/>
              <w:right w:w="15" w:type="dxa"/>
            </w:tcMar>
            <w:vAlign w:val="center"/>
          </w:tcPr>
          <w:p>
            <w:pPr>
              <w:ind w:left="-110" w:leftChars="-50" w:right="-110" w:rightChars="-50"/>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区民政局、</w:t>
            </w:r>
          </w:p>
          <w:p>
            <w:pPr>
              <w:ind w:left="-110" w:leftChars="-50" w:right="-110" w:rightChars="-50"/>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区自然资源局、</w:t>
            </w:r>
          </w:p>
          <w:p>
            <w:pPr>
              <w:ind w:left="-110" w:leftChars="-50" w:right="-110" w:rightChars="-50"/>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区住房和城乡建设局</w:t>
            </w:r>
          </w:p>
        </w:tc>
        <w:tc>
          <w:tcPr>
            <w:tcW w:w="4337" w:type="dxa"/>
            <w:shd w:val="clear" w:color="auto" w:fill="auto"/>
            <w:tcMar>
              <w:top w:w="15" w:type="dxa"/>
              <w:left w:w="15" w:type="dxa"/>
              <w:right w:w="15" w:type="dxa"/>
            </w:tcMar>
            <w:vAlign w:val="center"/>
          </w:tcPr>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《山东省养老服务条例》、《山东省人民政府办公</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厅关于印发山东省养老服务业转型升级实施方案的</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通知》（鲁政办〔2016〕22 号）、《济南市民生服务</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设施三年建设规划 （2019-2021 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62" w:hRule="atLeast"/>
          <w:jc w:val="center"/>
        </w:trPr>
        <w:tc>
          <w:tcPr>
            <w:tcW w:w="535"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19</w:t>
            </w:r>
          </w:p>
        </w:tc>
        <w:tc>
          <w:tcPr>
            <w:tcW w:w="793" w:type="dxa"/>
            <w:vMerge w:val="continue"/>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p>
        </w:tc>
        <w:tc>
          <w:tcPr>
            <w:tcW w:w="1182" w:type="dxa"/>
            <w:shd w:val="clear" w:color="auto" w:fill="auto"/>
            <w:tcMar>
              <w:top w:w="15" w:type="dxa"/>
              <w:left w:w="15" w:type="dxa"/>
              <w:right w:w="15" w:type="dxa"/>
            </w:tcMar>
            <w:vAlign w:val="center"/>
          </w:tcPr>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养老服务</w:t>
            </w:r>
          </w:p>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场所消防</w:t>
            </w:r>
          </w:p>
          <w:p>
            <w:pPr>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设施配置</w:t>
            </w:r>
          </w:p>
        </w:tc>
        <w:tc>
          <w:tcPr>
            <w:tcW w:w="1551" w:type="dxa"/>
            <w:shd w:val="clear" w:color="auto" w:fill="auto"/>
            <w:tcMar>
              <w:top w:w="15" w:type="dxa"/>
              <w:left w:w="15" w:type="dxa"/>
              <w:right w:w="15" w:type="dxa"/>
            </w:tcMar>
            <w:vAlign w:val="center"/>
          </w:tcPr>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 xml:space="preserve">符合条件的养老服务机构  </w:t>
            </w:r>
          </w:p>
        </w:tc>
        <w:tc>
          <w:tcPr>
            <w:tcW w:w="3614" w:type="dxa"/>
            <w:shd w:val="clear" w:color="auto" w:fill="auto"/>
            <w:tcMar>
              <w:top w:w="15" w:type="dxa"/>
              <w:left w:w="15" w:type="dxa"/>
              <w:right w:w="15" w:type="dxa"/>
            </w:tcMar>
            <w:vAlign w:val="center"/>
          </w:tcPr>
          <w:p>
            <w:pPr>
              <w:ind w:firstLine="361" w:firstLineChars="200"/>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 xml:space="preserve">解决已经用于养老服务但未依法配置消防设施有关问题。推动养老机构存量消防审验问题整改清零，推动存量养老机构按照国家工程建设消防技术标准配置消防设施、器材，落实日常消防安全管理要求。 </w:t>
            </w:r>
          </w:p>
        </w:tc>
        <w:tc>
          <w:tcPr>
            <w:tcW w:w="1596" w:type="dxa"/>
            <w:shd w:val="clear" w:color="auto" w:fill="auto"/>
            <w:tcMar>
              <w:top w:w="15" w:type="dxa"/>
              <w:left w:w="15" w:type="dxa"/>
              <w:right w:w="15" w:type="dxa"/>
            </w:tcMar>
            <w:vAlign w:val="center"/>
          </w:tcPr>
          <w:p>
            <w:pPr>
              <w:ind w:left="-110" w:leftChars="-50" w:right="-110" w:rightChars="-50"/>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区民政局、</w:t>
            </w:r>
          </w:p>
          <w:p>
            <w:pPr>
              <w:ind w:left="-110" w:leftChars="-50" w:right="-110" w:rightChars="-50"/>
              <w:jc w:val="center"/>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区住房和城乡建设局</w:t>
            </w:r>
          </w:p>
        </w:tc>
        <w:tc>
          <w:tcPr>
            <w:tcW w:w="4337" w:type="dxa"/>
            <w:shd w:val="clear" w:color="auto" w:fill="auto"/>
            <w:tcMar>
              <w:top w:w="15" w:type="dxa"/>
              <w:left w:w="15" w:type="dxa"/>
              <w:right w:w="15" w:type="dxa"/>
            </w:tcMar>
            <w:vAlign w:val="center"/>
          </w:tcPr>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《济南市人民政府办公厅关于加快推进养老服务发</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展的实施意见》（济政办发〔2020〕7 号）、《关于</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推进解决养老服务场所消防设施配置有关问题的通</w:t>
            </w:r>
          </w:p>
          <w:p>
            <w:pPr>
              <w:jc w:val="both"/>
              <w:textAlignment w:val="center"/>
              <w:rPr>
                <w:rFonts w:ascii="新宋体" w:hAnsi="新宋体" w:cstheme="minorEastAsia"/>
                <w:b/>
                <w:color w:val="000000"/>
                <w:sz w:val="18"/>
                <w:szCs w:val="18"/>
              </w:rPr>
            </w:pPr>
            <w:r>
              <w:rPr>
                <w:rFonts w:hint="eastAsia" w:ascii="新宋体" w:hAnsi="新宋体" w:cstheme="minorEastAsia"/>
                <w:b/>
                <w:color w:val="000000"/>
                <w:sz w:val="18"/>
                <w:szCs w:val="18"/>
              </w:rPr>
              <w:t xml:space="preserve">知》（济民发〔2020〕20 号） </w:t>
            </w:r>
          </w:p>
        </w:tc>
      </w:tr>
    </w:tbl>
    <w:p>
      <w:pPr>
        <w:rPr>
          <w:rFonts w:ascii="新宋体" w:hAnsi="新宋体"/>
          <w:b/>
          <w:sz w:val="20"/>
          <w:szCs w:val="20"/>
        </w:rPr>
        <w:sectPr>
          <w:pgSz w:w="16840" w:h="11900" w:orient="landscape"/>
          <w:pgMar w:top="1531" w:right="1531" w:bottom="1531" w:left="1531" w:header="851" w:footer="1418" w:gutter="0"/>
          <w:cols w:space="425" w:num="1"/>
          <w:docGrid w:linePitch="299" w:charSpace="0"/>
        </w:sectPr>
      </w:pPr>
    </w:p>
    <w:p>
      <w:pPr>
        <w:spacing w:line="200" w:lineRule="exact"/>
        <w:rPr>
          <w:rFonts w:ascii="新宋体" w:hAnsi="新宋体"/>
          <w:b/>
          <w:sz w:val="20"/>
          <w:szCs w:val="20"/>
        </w:rPr>
      </w:pPr>
      <w:bookmarkStart w:id="3" w:name="page8"/>
      <w:bookmarkEnd w:id="3"/>
      <w:bookmarkStart w:id="4" w:name="page6"/>
      <w:bookmarkEnd w:id="4"/>
      <w:bookmarkStart w:id="5" w:name="page9"/>
      <w:bookmarkEnd w:id="5"/>
      <w:bookmarkStart w:id="6" w:name="page7"/>
      <w:bookmarkEnd w:id="6"/>
    </w:p>
    <w:sectPr>
      <w:pgSz w:w="16840" w:h="11900" w:orient="landscape"/>
      <w:pgMar w:top="1417" w:right="1417" w:bottom="1417" w:left="1417"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swiss"/>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Fonts w:hint="eastAsia" w:ascii="Times New Roman" w:hAnsi="Times New Roman" w:cs="Times New Roman"/>
        <w:sz w:val="24"/>
        <w:szCs w:val="24"/>
      </w:rPr>
      <w:id w:val="12435464"/>
    </w:sdtPr>
    <w:sdtEndPr>
      <w:rPr>
        <w:rStyle w:val="7"/>
        <w:rFonts w:hint="eastAsia" w:ascii="Times New Roman" w:hAnsi="Times New Roman" w:cs="Times New Roman"/>
        <w:sz w:val="24"/>
        <w:szCs w:val="24"/>
      </w:rPr>
    </w:sdtEndPr>
    <w:sdtContent>
      <w:p>
        <w:pPr>
          <w:pStyle w:val="2"/>
          <w:framePr w:wrap="around" w:vAnchor="text" w:hAnchor="margin" w:xAlign="outside" w:y="1"/>
          <w:rPr>
            <w:rStyle w:val="7"/>
            <w:rFonts w:ascii="Times New Roman" w:hAnsi="Times New Roman" w:cs="Times New Roman"/>
            <w:sz w:val="24"/>
            <w:szCs w:val="24"/>
          </w:rPr>
        </w:pPr>
        <w:r>
          <w:rPr>
            <w:rStyle w:val="7"/>
            <w:rFonts w:hint="eastAsia" w:ascii="Times New Roman" w:hAnsi="Times New Roman" w:cs="Times New Roman"/>
            <w:sz w:val="24"/>
            <w:szCs w:val="24"/>
          </w:rPr>
          <w:t>—</w:t>
        </w:r>
        <w:r>
          <w:rPr>
            <w:rStyle w:val="7"/>
            <w:rFonts w:ascii="Times New Roman" w:hAnsi="Times New Roman" w:cs="Times New Roman"/>
            <w:sz w:val="24"/>
            <w:szCs w:val="24"/>
          </w:rPr>
          <w:fldChar w:fldCharType="begin"/>
        </w:r>
        <w:r>
          <w:rPr>
            <w:rStyle w:val="7"/>
            <w:rFonts w:ascii="Times New Roman" w:hAnsi="Times New Roman" w:cs="Times New Roman"/>
            <w:sz w:val="24"/>
            <w:szCs w:val="24"/>
          </w:rPr>
          <w:instrText xml:space="preserve">PAGE  </w:instrText>
        </w:r>
        <w:r>
          <w:rPr>
            <w:rStyle w:val="7"/>
            <w:rFonts w:ascii="Times New Roman" w:hAnsi="Times New Roman" w:cs="Times New Roman"/>
            <w:sz w:val="24"/>
            <w:szCs w:val="24"/>
          </w:rPr>
          <w:fldChar w:fldCharType="separate"/>
        </w:r>
        <w:r>
          <w:rPr>
            <w:rStyle w:val="7"/>
            <w:rFonts w:ascii="Times New Roman" w:hAnsi="Times New Roman" w:cs="Times New Roman"/>
            <w:sz w:val="24"/>
            <w:szCs w:val="24"/>
          </w:rPr>
          <w:t>1</w:t>
        </w:r>
        <w:r>
          <w:rPr>
            <w:rStyle w:val="7"/>
            <w:rFonts w:ascii="Times New Roman" w:hAnsi="Times New Roman" w:cs="Times New Roman"/>
            <w:sz w:val="24"/>
            <w:szCs w:val="24"/>
          </w:rPr>
          <w:fldChar w:fldCharType="end"/>
        </w:r>
        <w:r>
          <w:rPr>
            <w:rStyle w:val="7"/>
            <w:rFonts w:hint="eastAsia" w:ascii="Times New Roman" w:hAnsi="Times New Roman" w:cs="Times New Roman"/>
            <w:sz w:val="24"/>
            <w:szCs w:val="24"/>
          </w:rPr>
          <w:t>—</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CEA"/>
    <w:rsid w:val="00201F06"/>
    <w:rsid w:val="00223CEA"/>
    <w:rsid w:val="00277D46"/>
    <w:rsid w:val="00312BFE"/>
    <w:rsid w:val="003F138A"/>
    <w:rsid w:val="00453AAE"/>
    <w:rsid w:val="00570B13"/>
    <w:rsid w:val="005A2080"/>
    <w:rsid w:val="006C725E"/>
    <w:rsid w:val="00755BFA"/>
    <w:rsid w:val="0095756D"/>
    <w:rsid w:val="00B36E6F"/>
    <w:rsid w:val="00BC6D0E"/>
    <w:rsid w:val="00C321E5"/>
    <w:rsid w:val="00DA3FD8"/>
    <w:rsid w:val="00DB625C"/>
    <w:rsid w:val="00F0392F"/>
    <w:rsid w:val="031B2076"/>
    <w:rsid w:val="069B71EF"/>
    <w:rsid w:val="07BE1164"/>
    <w:rsid w:val="08BB00D6"/>
    <w:rsid w:val="08DC3675"/>
    <w:rsid w:val="0B260BE2"/>
    <w:rsid w:val="0B681941"/>
    <w:rsid w:val="0B7A7209"/>
    <w:rsid w:val="0C0A67AB"/>
    <w:rsid w:val="0DAB6E8A"/>
    <w:rsid w:val="0E127573"/>
    <w:rsid w:val="10562862"/>
    <w:rsid w:val="10820AAD"/>
    <w:rsid w:val="10997F99"/>
    <w:rsid w:val="10EC2D74"/>
    <w:rsid w:val="11186AD4"/>
    <w:rsid w:val="12681283"/>
    <w:rsid w:val="131F3847"/>
    <w:rsid w:val="13AE3A62"/>
    <w:rsid w:val="13C21E0A"/>
    <w:rsid w:val="14687212"/>
    <w:rsid w:val="14AF3D9C"/>
    <w:rsid w:val="14BF7836"/>
    <w:rsid w:val="14D03D43"/>
    <w:rsid w:val="152D1F43"/>
    <w:rsid w:val="156044C8"/>
    <w:rsid w:val="159E5D66"/>
    <w:rsid w:val="15E574E7"/>
    <w:rsid w:val="161F2C4C"/>
    <w:rsid w:val="167D530F"/>
    <w:rsid w:val="16902316"/>
    <w:rsid w:val="16DF2F77"/>
    <w:rsid w:val="187E74D2"/>
    <w:rsid w:val="18BC4FC3"/>
    <w:rsid w:val="19095F10"/>
    <w:rsid w:val="196E620E"/>
    <w:rsid w:val="19D8345C"/>
    <w:rsid w:val="1A781CD4"/>
    <w:rsid w:val="1C1A092B"/>
    <w:rsid w:val="1C360947"/>
    <w:rsid w:val="1C932064"/>
    <w:rsid w:val="1D0202B0"/>
    <w:rsid w:val="1D056DFB"/>
    <w:rsid w:val="1E9A738B"/>
    <w:rsid w:val="1EFB6C37"/>
    <w:rsid w:val="1F134E5B"/>
    <w:rsid w:val="1F282027"/>
    <w:rsid w:val="1F2E7BCA"/>
    <w:rsid w:val="20112CD0"/>
    <w:rsid w:val="20405C69"/>
    <w:rsid w:val="20DE6DFD"/>
    <w:rsid w:val="20EE6726"/>
    <w:rsid w:val="21D20529"/>
    <w:rsid w:val="22D7093C"/>
    <w:rsid w:val="24607E93"/>
    <w:rsid w:val="248229E1"/>
    <w:rsid w:val="260B03FD"/>
    <w:rsid w:val="269D5491"/>
    <w:rsid w:val="26E81D00"/>
    <w:rsid w:val="27097B75"/>
    <w:rsid w:val="271266DD"/>
    <w:rsid w:val="2B582D9B"/>
    <w:rsid w:val="2B7B4359"/>
    <w:rsid w:val="2C1B149D"/>
    <w:rsid w:val="2DD90CB3"/>
    <w:rsid w:val="2EBE44AE"/>
    <w:rsid w:val="2F276BDF"/>
    <w:rsid w:val="301C3D72"/>
    <w:rsid w:val="30A76055"/>
    <w:rsid w:val="30F87396"/>
    <w:rsid w:val="315B4D53"/>
    <w:rsid w:val="31BF6FAC"/>
    <w:rsid w:val="3249031F"/>
    <w:rsid w:val="325668A6"/>
    <w:rsid w:val="335B5DF3"/>
    <w:rsid w:val="336C4294"/>
    <w:rsid w:val="34431050"/>
    <w:rsid w:val="35780AD1"/>
    <w:rsid w:val="35DE1D12"/>
    <w:rsid w:val="36CD7647"/>
    <w:rsid w:val="36D60B29"/>
    <w:rsid w:val="375461BD"/>
    <w:rsid w:val="38C563AB"/>
    <w:rsid w:val="39CB6D02"/>
    <w:rsid w:val="3A82239A"/>
    <w:rsid w:val="3B7B6BEC"/>
    <w:rsid w:val="3B872D0B"/>
    <w:rsid w:val="3BBD3A38"/>
    <w:rsid w:val="3C683BC2"/>
    <w:rsid w:val="3C9954B2"/>
    <w:rsid w:val="3D3921D6"/>
    <w:rsid w:val="3DC23CEC"/>
    <w:rsid w:val="3ECB1662"/>
    <w:rsid w:val="3EFE131C"/>
    <w:rsid w:val="419A46AB"/>
    <w:rsid w:val="41A8780F"/>
    <w:rsid w:val="41BB188B"/>
    <w:rsid w:val="422E4E8B"/>
    <w:rsid w:val="4231248E"/>
    <w:rsid w:val="423532FA"/>
    <w:rsid w:val="42DB1F26"/>
    <w:rsid w:val="436753BC"/>
    <w:rsid w:val="436E3E3A"/>
    <w:rsid w:val="444D5EDA"/>
    <w:rsid w:val="455F2753"/>
    <w:rsid w:val="48414063"/>
    <w:rsid w:val="496B0C93"/>
    <w:rsid w:val="4A5529CA"/>
    <w:rsid w:val="4A8F790B"/>
    <w:rsid w:val="4B3B515E"/>
    <w:rsid w:val="4C9E5D39"/>
    <w:rsid w:val="4CE81FBE"/>
    <w:rsid w:val="4CE9363B"/>
    <w:rsid w:val="4CFF6049"/>
    <w:rsid w:val="4D6D071B"/>
    <w:rsid w:val="4DED573D"/>
    <w:rsid w:val="4E3968B2"/>
    <w:rsid w:val="4E716040"/>
    <w:rsid w:val="4EEC6FFC"/>
    <w:rsid w:val="4FDC4D15"/>
    <w:rsid w:val="51353ED8"/>
    <w:rsid w:val="51846950"/>
    <w:rsid w:val="53062D8C"/>
    <w:rsid w:val="56D40757"/>
    <w:rsid w:val="57456213"/>
    <w:rsid w:val="580C0588"/>
    <w:rsid w:val="58FB7307"/>
    <w:rsid w:val="58FB7589"/>
    <w:rsid w:val="59C9720C"/>
    <w:rsid w:val="5B4F1D19"/>
    <w:rsid w:val="5C824E92"/>
    <w:rsid w:val="5CA2298F"/>
    <w:rsid w:val="5EF742E6"/>
    <w:rsid w:val="5F796CB9"/>
    <w:rsid w:val="5F83439D"/>
    <w:rsid w:val="5FB160B8"/>
    <w:rsid w:val="616918B5"/>
    <w:rsid w:val="61817282"/>
    <w:rsid w:val="6217261B"/>
    <w:rsid w:val="6276592F"/>
    <w:rsid w:val="62AE6EF5"/>
    <w:rsid w:val="631501EB"/>
    <w:rsid w:val="63FE1594"/>
    <w:rsid w:val="64934715"/>
    <w:rsid w:val="64F6065E"/>
    <w:rsid w:val="655052A9"/>
    <w:rsid w:val="65806EE3"/>
    <w:rsid w:val="65EE24F8"/>
    <w:rsid w:val="6763059B"/>
    <w:rsid w:val="690F717A"/>
    <w:rsid w:val="698A7758"/>
    <w:rsid w:val="6ACA1D2E"/>
    <w:rsid w:val="6BC56315"/>
    <w:rsid w:val="6C013C6C"/>
    <w:rsid w:val="6C1C3978"/>
    <w:rsid w:val="6E05358E"/>
    <w:rsid w:val="6EBA66CF"/>
    <w:rsid w:val="6EBC5B36"/>
    <w:rsid w:val="6EF9668E"/>
    <w:rsid w:val="6F62671C"/>
    <w:rsid w:val="70430A2B"/>
    <w:rsid w:val="708A3AEB"/>
    <w:rsid w:val="70A470C5"/>
    <w:rsid w:val="71106A53"/>
    <w:rsid w:val="755643B1"/>
    <w:rsid w:val="75F7636D"/>
    <w:rsid w:val="761B72A4"/>
    <w:rsid w:val="76A75403"/>
    <w:rsid w:val="78743AD1"/>
    <w:rsid w:val="78E35506"/>
    <w:rsid w:val="78E75EFC"/>
    <w:rsid w:val="79BC046F"/>
    <w:rsid w:val="79C20B2B"/>
    <w:rsid w:val="79C86D85"/>
    <w:rsid w:val="7B1C2418"/>
    <w:rsid w:val="7B306C23"/>
    <w:rsid w:val="7C1F0FC7"/>
    <w:rsid w:val="7DBE533A"/>
    <w:rsid w:val="7DE13A79"/>
    <w:rsid w:val="7DE9511F"/>
    <w:rsid w:val="7E0B772B"/>
    <w:rsid w:val="7E87714F"/>
    <w:rsid w:val="7EB464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en-US" w:eastAsia="zh-CN"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脚 Char"/>
    <w:basedOn w:val="6"/>
    <w:link w:val="2"/>
    <w:qFormat/>
    <w:uiPriority w:val="0"/>
    <w:rPr>
      <w:rFonts w:asciiTheme="minorHAnsi" w:hAnsiTheme="minorHAnsi" w:eastAsiaTheme="minorEastAsia" w:cstheme="minorBidi"/>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F0D3B2-A606-477F-A353-95C5D793A3D7}">
  <ds:schemaRefs/>
</ds:datastoreItem>
</file>

<file path=docProps/app.xml><?xml version="1.0" encoding="utf-8"?>
<Properties xmlns="http://schemas.openxmlformats.org/officeDocument/2006/extended-properties" xmlns:vt="http://schemas.openxmlformats.org/officeDocument/2006/docPropsVTypes">
  <Template>Normal</Template>
  <Pages>8</Pages>
  <Words>822</Words>
  <Characters>4692</Characters>
  <Lines>39</Lines>
  <Paragraphs>11</Paragraphs>
  <TotalTime>51</TotalTime>
  <ScaleCrop>false</ScaleCrop>
  <LinksUpToDate>false</LinksUpToDate>
  <CharactersWithSpaces>5503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2020-09-27T11:17:00Z</dcterms:created>
  <dc:creator>Windows User</dc:creator>
  <cp:lastModifiedBy>-萍萍</cp:lastModifiedBy>
  <cp:lastPrinted>2021-03-24T06:11:00Z</cp:lastPrinted>
  <dcterms:modified xsi:type="dcterms:W3CDTF">2021-03-24T07:05:00Z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83D10034A6AA4908BBFF9FC8B4EBF360</vt:lpwstr>
  </property>
</Properties>
</file>