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35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color w:val="333333"/>
          <w:sz w:val="21"/>
          <w:szCs w:val="21"/>
        </w:rPr>
      </w:pPr>
      <w:r>
        <w:rPr>
          <w:rFonts w:ascii="方正小标宋简体" w:hAnsi="方正小标宋简体" w:eastAsia="方正小标宋简体" w:cs="方正小标宋简体"/>
          <w:color w:val="333333"/>
          <w:sz w:val="43"/>
          <w:szCs w:val="43"/>
        </w:rPr>
        <w:t>娱乐场所设立公示</w:t>
      </w:r>
    </w:p>
    <w:p w14:paraId="4A9AD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宋体" w:hAnsi="宋体" w:eastAsia="宋体" w:cs="宋体"/>
          <w:color w:val="333333"/>
          <w:sz w:val="31"/>
          <w:szCs w:val="31"/>
        </w:rPr>
        <w:t> </w:t>
      </w:r>
    </w:p>
    <w:p w14:paraId="333BA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ascii="仿宋" w:hAnsi="仿宋" w:eastAsia="仿宋" w:cs="仿宋"/>
          <w:color w:val="333333"/>
          <w:sz w:val="31"/>
          <w:szCs w:val="31"/>
        </w:rPr>
        <w:t>兹有</w:t>
      </w:r>
      <w:r>
        <w:rPr>
          <w:rFonts w:hint="eastAsia" w:ascii="仿宋" w:hAnsi="仿宋" w:eastAsia="仿宋" w:cs="仿宋"/>
          <w:color w:val="333333"/>
          <w:sz w:val="31"/>
          <w:szCs w:val="31"/>
        </w:rPr>
        <w:t>“</w:t>
      </w:r>
      <w:r>
        <w:rPr>
          <w:rFonts w:hint="eastAsia" w:ascii="仿宋" w:hAnsi="仿宋" w:eastAsia="仿宋" w:cs="仿宋"/>
          <w:color w:val="333333"/>
          <w:sz w:val="31"/>
          <w:szCs w:val="31"/>
          <w:lang w:eastAsia="zh-CN"/>
        </w:rPr>
        <w:t>济南市钢城区</w:t>
      </w:r>
      <w:r>
        <w:rPr>
          <w:rFonts w:hint="eastAsia" w:ascii="仿宋" w:hAnsi="仿宋" w:eastAsia="仿宋" w:cs="仿宋"/>
          <w:color w:val="333333"/>
          <w:sz w:val="31"/>
          <w:szCs w:val="31"/>
          <w:lang w:val="en-US" w:eastAsia="zh-CN"/>
        </w:rPr>
        <w:t>爵士音乐主题餐厅</w:t>
      </w:r>
      <w:r>
        <w:rPr>
          <w:rFonts w:hint="eastAsia" w:ascii="仿宋" w:hAnsi="仿宋" w:eastAsia="仿宋" w:cs="仿宋"/>
          <w:color w:val="333333"/>
          <w:sz w:val="31"/>
          <w:szCs w:val="31"/>
        </w:rPr>
        <w:t>”拟申请设立歌舞娱乐场所，根据《中华人民共和国行政许可法》《娱乐场所管理条例》《公众聚集文化经营场所审核公示暂行办法》等规定，现将有关情况予以公示：</w:t>
      </w:r>
    </w:p>
    <w:p w14:paraId="128BF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ascii="黑体" w:hAnsi="宋体" w:eastAsia="黑体" w:cs="黑体"/>
          <w:color w:val="333333"/>
          <w:sz w:val="31"/>
          <w:szCs w:val="31"/>
        </w:rPr>
        <w:t>一、基本情况</w:t>
      </w:r>
    </w:p>
    <w:tbl>
      <w:tblPr>
        <w:tblStyle w:val="3"/>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8"/>
        <w:gridCol w:w="2021"/>
        <w:gridCol w:w="2076"/>
        <w:gridCol w:w="2981"/>
      </w:tblGrid>
      <w:tr w14:paraId="1219A7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43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950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申请单位名称</w:t>
            </w:r>
          </w:p>
        </w:tc>
        <w:tc>
          <w:tcPr>
            <w:tcW w:w="7078"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00FB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lang w:eastAsia="zh-CN"/>
              </w:rPr>
              <w:t>济南市钢城区</w:t>
            </w:r>
            <w:r>
              <w:rPr>
                <w:rFonts w:hint="eastAsia" w:ascii="仿宋" w:hAnsi="仿宋" w:eastAsia="仿宋" w:cs="仿宋"/>
                <w:color w:val="333333"/>
                <w:sz w:val="31"/>
                <w:szCs w:val="31"/>
                <w:lang w:val="en-US" w:eastAsia="zh-CN"/>
              </w:rPr>
              <w:t>爵士音乐主题餐厅</w:t>
            </w:r>
          </w:p>
        </w:tc>
      </w:tr>
      <w:tr w14:paraId="5F5B9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14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BAB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经营地址</w:t>
            </w:r>
          </w:p>
        </w:tc>
        <w:tc>
          <w:tcPr>
            <w:tcW w:w="707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743C5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lang w:val="en-US" w:eastAsia="zh-CN"/>
              </w:rPr>
              <w:t>山东省济南市钢城区汶源街道汶源大街西段路南</w:t>
            </w:r>
          </w:p>
        </w:tc>
      </w:tr>
      <w:tr w14:paraId="26C795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4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BFD4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经营范围</w:t>
            </w:r>
          </w:p>
        </w:tc>
        <w:tc>
          <w:tcPr>
            <w:tcW w:w="2021" w:type="dxa"/>
            <w:tcBorders>
              <w:top w:val="nil"/>
              <w:left w:val="nil"/>
              <w:bottom w:val="single" w:color="auto" w:sz="6" w:space="0"/>
              <w:right w:val="single" w:color="auto" w:sz="6" w:space="0"/>
            </w:tcBorders>
            <w:shd w:val="clear" w:color="auto" w:fill="auto"/>
            <w:tcMar>
              <w:left w:w="105" w:type="dxa"/>
              <w:right w:w="105" w:type="dxa"/>
            </w:tcMar>
            <w:vAlign w:val="center"/>
          </w:tcPr>
          <w:p w14:paraId="29F2C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rPr>
              <w:t>歌舞娱乐活动</w:t>
            </w:r>
          </w:p>
        </w:tc>
        <w:tc>
          <w:tcPr>
            <w:tcW w:w="207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ACDF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企业类型</w:t>
            </w:r>
          </w:p>
        </w:tc>
        <w:tc>
          <w:tcPr>
            <w:tcW w:w="298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21B1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rPr>
              <w:t>个体工商户</w:t>
            </w:r>
          </w:p>
        </w:tc>
      </w:tr>
      <w:tr w14:paraId="1DBE87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4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869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场所面积</w:t>
            </w:r>
          </w:p>
        </w:tc>
        <w:tc>
          <w:tcPr>
            <w:tcW w:w="2021" w:type="dxa"/>
            <w:tcBorders>
              <w:top w:val="nil"/>
              <w:left w:val="nil"/>
              <w:bottom w:val="single" w:color="auto" w:sz="6" w:space="0"/>
              <w:right w:val="single" w:color="auto" w:sz="6" w:space="0"/>
            </w:tcBorders>
            <w:shd w:val="clear" w:color="auto" w:fill="auto"/>
            <w:tcMar>
              <w:left w:w="105" w:type="dxa"/>
              <w:right w:w="105" w:type="dxa"/>
            </w:tcMar>
            <w:vAlign w:val="center"/>
          </w:tcPr>
          <w:p w14:paraId="7E4CA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lang w:val="en-US" w:eastAsia="zh-CN"/>
              </w:rPr>
              <w:t>289平方米</w:t>
            </w:r>
          </w:p>
        </w:tc>
        <w:tc>
          <w:tcPr>
            <w:tcW w:w="2076" w:type="dxa"/>
            <w:tcBorders>
              <w:top w:val="nil"/>
              <w:left w:val="nil"/>
              <w:bottom w:val="single" w:color="auto" w:sz="6" w:space="0"/>
              <w:right w:val="single" w:color="auto" w:sz="6" w:space="0"/>
            </w:tcBorders>
            <w:shd w:val="clear" w:color="auto" w:fill="auto"/>
            <w:tcMar>
              <w:left w:w="105" w:type="dxa"/>
              <w:right w:w="105" w:type="dxa"/>
            </w:tcMar>
            <w:vAlign w:val="center"/>
          </w:tcPr>
          <w:p w14:paraId="1E577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法定代表人(负责人)</w:t>
            </w:r>
          </w:p>
        </w:tc>
        <w:tc>
          <w:tcPr>
            <w:tcW w:w="2981" w:type="dxa"/>
            <w:tcBorders>
              <w:top w:val="nil"/>
              <w:left w:val="nil"/>
              <w:bottom w:val="single" w:color="auto" w:sz="6" w:space="0"/>
              <w:right w:val="single" w:color="auto" w:sz="6" w:space="0"/>
            </w:tcBorders>
            <w:shd w:val="clear" w:color="auto" w:fill="auto"/>
            <w:tcMar>
              <w:left w:w="105" w:type="dxa"/>
              <w:right w:w="105" w:type="dxa"/>
            </w:tcMar>
            <w:vAlign w:val="center"/>
          </w:tcPr>
          <w:p w14:paraId="1C81B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eastAsiaTheme="minorEastAsia"/>
                <w:color w:val="333333"/>
                <w:sz w:val="21"/>
                <w:szCs w:val="21"/>
                <w:lang w:eastAsia="zh-CN"/>
              </w:rPr>
            </w:pPr>
            <w:r>
              <w:rPr>
                <w:rFonts w:hint="eastAsia" w:ascii="仿宋" w:hAnsi="仿宋" w:eastAsia="仿宋" w:cs="仿宋"/>
                <w:color w:val="333333"/>
                <w:sz w:val="31"/>
                <w:szCs w:val="31"/>
                <w:lang w:val="en-US" w:eastAsia="zh-CN"/>
              </w:rPr>
              <w:t>王梦宇</w:t>
            </w:r>
          </w:p>
        </w:tc>
      </w:tr>
    </w:tbl>
    <w:p w14:paraId="257FF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黑体" w:hAnsi="宋体" w:eastAsia="黑体" w:cs="黑体"/>
          <w:color w:val="333333"/>
          <w:sz w:val="31"/>
          <w:szCs w:val="31"/>
        </w:rPr>
        <w:t>二、公示时间</w:t>
      </w:r>
    </w:p>
    <w:p w14:paraId="73252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rPr>
          <w:color w:val="333333"/>
          <w:sz w:val="21"/>
          <w:szCs w:val="21"/>
        </w:rPr>
      </w:pPr>
      <w:r>
        <w:rPr>
          <w:rStyle w:val="5"/>
          <w:rFonts w:hint="eastAsia" w:ascii="仿宋" w:hAnsi="仿宋" w:eastAsia="仿宋" w:cs="仿宋"/>
          <w:b/>
          <w:bCs/>
          <w:color w:val="333333"/>
          <w:sz w:val="30"/>
          <w:szCs w:val="30"/>
        </w:rPr>
        <w:t>2025年 </w:t>
      </w:r>
      <w:r>
        <w:rPr>
          <w:rStyle w:val="5"/>
          <w:rFonts w:hint="eastAsia" w:ascii="仿宋" w:hAnsi="仿宋" w:eastAsia="仿宋" w:cs="仿宋"/>
          <w:b/>
          <w:bCs/>
          <w:color w:val="333333"/>
          <w:sz w:val="30"/>
          <w:szCs w:val="30"/>
          <w:lang w:val="en-US" w:eastAsia="zh-CN"/>
        </w:rPr>
        <w:t>9</w:t>
      </w:r>
      <w:r>
        <w:rPr>
          <w:rStyle w:val="5"/>
          <w:rFonts w:hint="eastAsia" w:ascii="仿宋" w:hAnsi="仿宋" w:eastAsia="仿宋" w:cs="仿宋"/>
          <w:b/>
          <w:bCs/>
          <w:color w:val="333333"/>
          <w:sz w:val="30"/>
          <w:szCs w:val="30"/>
        </w:rPr>
        <w:t> 月 </w:t>
      </w:r>
      <w:r>
        <w:rPr>
          <w:rStyle w:val="5"/>
          <w:rFonts w:hint="eastAsia" w:ascii="仿宋" w:hAnsi="仿宋" w:eastAsia="仿宋" w:cs="仿宋"/>
          <w:b/>
          <w:bCs/>
          <w:color w:val="333333"/>
          <w:sz w:val="30"/>
          <w:szCs w:val="30"/>
          <w:lang w:val="en-US" w:eastAsia="zh-CN"/>
        </w:rPr>
        <w:t>15</w:t>
      </w:r>
      <w:r>
        <w:rPr>
          <w:rStyle w:val="5"/>
          <w:rFonts w:hint="eastAsia" w:ascii="仿宋" w:hAnsi="仿宋" w:eastAsia="仿宋" w:cs="仿宋"/>
          <w:b/>
          <w:bCs/>
          <w:color w:val="333333"/>
          <w:sz w:val="30"/>
          <w:szCs w:val="30"/>
        </w:rPr>
        <w:t>日    —  2025年 </w:t>
      </w:r>
      <w:r>
        <w:rPr>
          <w:rStyle w:val="5"/>
          <w:rFonts w:hint="eastAsia" w:ascii="仿宋" w:hAnsi="仿宋" w:eastAsia="仿宋" w:cs="仿宋"/>
          <w:b/>
          <w:bCs/>
          <w:color w:val="333333"/>
          <w:sz w:val="30"/>
          <w:szCs w:val="30"/>
          <w:lang w:val="en-US" w:eastAsia="zh-CN"/>
        </w:rPr>
        <w:t>9</w:t>
      </w:r>
      <w:r>
        <w:rPr>
          <w:rStyle w:val="5"/>
          <w:rFonts w:hint="eastAsia" w:ascii="仿宋" w:hAnsi="仿宋" w:eastAsia="仿宋" w:cs="仿宋"/>
          <w:b/>
          <w:bCs/>
          <w:color w:val="333333"/>
          <w:sz w:val="30"/>
          <w:szCs w:val="30"/>
        </w:rPr>
        <w:t> 月</w:t>
      </w:r>
      <w:r>
        <w:rPr>
          <w:rStyle w:val="5"/>
          <w:rFonts w:hint="eastAsia" w:ascii="仿宋" w:hAnsi="仿宋" w:eastAsia="仿宋" w:cs="仿宋"/>
          <w:b/>
          <w:bCs/>
          <w:color w:val="333333"/>
          <w:sz w:val="30"/>
          <w:szCs w:val="30"/>
          <w:lang w:val="en-US" w:eastAsia="zh-CN"/>
        </w:rPr>
        <w:t>26</w:t>
      </w:r>
      <w:r>
        <w:rPr>
          <w:rStyle w:val="5"/>
          <w:rFonts w:hint="eastAsia" w:ascii="仿宋" w:hAnsi="仿宋" w:eastAsia="仿宋" w:cs="仿宋"/>
          <w:b/>
          <w:bCs/>
          <w:color w:val="333333"/>
          <w:sz w:val="30"/>
          <w:szCs w:val="30"/>
        </w:rPr>
        <w:t>日（10个工作日）</w:t>
      </w:r>
    </w:p>
    <w:p w14:paraId="29C94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黑体" w:hAnsi="宋体" w:eastAsia="黑体" w:cs="黑体"/>
          <w:color w:val="333333"/>
          <w:sz w:val="31"/>
          <w:szCs w:val="31"/>
        </w:rPr>
        <w:t>三、相关法规、规定</w:t>
      </w:r>
    </w:p>
    <w:p w14:paraId="1673D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ascii="楷体_GB2312" w:eastAsia="楷体_GB2312" w:cs="楷体_GB2312"/>
          <w:color w:val="333333"/>
          <w:sz w:val="31"/>
          <w:szCs w:val="31"/>
        </w:rPr>
        <w:t>1.娱乐场所不得设在下列地点：</w:t>
      </w:r>
      <w:r>
        <w:rPr>
          <w:rFonts w:hint="eastAsia" w:ascii="仿宋" w:hAnsi="仿宋" w:eastAsia="仿宋" w:cs="仿宋"/>
          <w:color w:val="333333"/>
          <w:sz w:val="31"/>
          <w:szCs w:val="31"/>
        </w:rPr>
        <w:t>(一)居民楼(含商住两用楼)、居民住宿区、博物馆、图书馆和被核定为文物保护单位的建筑物内；(二)学校、医院、机关周围，娱乐场所与其直线距离不得少于200米；(三)车站、机场等人群密集的场所内；(四)建筑物地下一层以下(不含地下一层)；(五)与危险化学品仓库毗连的区域(与之距离应符合《危险化学品安全管理条例》之规定和危险化学品管理有关标准)，娱乐场所的边界噪声必须符合国家规定的标准。</w:t>
      </w:r>
    </w:p>
    <w:p w14:paraId="102E0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仿宋" w:hAnsi="仿宋" w:eastAsia="仿宋" w:cs="仿宋"/>
          <w:color w:val="333333"/>
          <w:sz w:val="31"/>
          <w:szCs w:val="31"/>
        </w:rPr>
        <w:t>《山东省未成年人保护条例》第三十四条：“学校、幼儿园周围外延直线距离二百米以内不得设置营业性歌舞娱乐场所、酒吧、电子游戏场所、互联网上网服务营业场所以及其他不适宜未成年人活动的场所。”</w:t>
      </w:r>
    </w:p>
    <w:p w14:paraId="564D1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default" w:ascii="楷体_GB2312" w:eastAsia="楷体_GB2312" w:cs="楷体_GB2312"/>
          <w:color w:val="333333"/>
          <w:sz w:val="31"/>
          <w:szCs w:val="31"/>
        </w:rPr>
        <w:t>2.有下列情形之一的人员，不得开办娱乐场所或者在娱乐场所内从业：</w:t>
      </w:r>
      <w:r>
        <w:rPr>
          <w:rFonts w:hint="eastAsia" w:ascii="仿宋" w:hAnsi="仿宋" w:eastAsia="仿宋" w:cs="仿宋"/>
          <w:color w:val="333333"/>
          <w:sz w:val="31"/>
          <w:szCs w:val="31"/>
        </w:rPr>
        <w:t>(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五)因擅自从事娱乐场所经营活动被依法取缔的，其投资人员和负责人终身不得投资开办娱乐场所或者担任娱乐场所的法定代表人、负责人。因违反《娱乐场所管理条例》规定，被吊销或者撤销娱乐经营许可证的，自被吊销或者撤销之日起，其法定代表人、负责人5年内不得担任新设娱乐场所的法定代表人、负责人；(六)国家机关工作人员，与文化主管部门、公安部门的工作人员存在夫妻关系、直系血亲关系、三代以内旁系血亲关系以及近姻亲关系的亲属，不得开办娱乐场所，不得参与或者变相参与娱乐场所的经营活动。</w:t>
      </w:r>
    </w:p>
    <w:p w14:paraId="76ADF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黑体" w:hAnsi="宋体" w:eastAsia="黑体" w:cs="黑体"/>
          <w:color w:val="333333"/>
          <w:sz w:val="31"/>
          <w:szCs w:val="31"/>
        </w:rPr>
        <w:t>四、反馈方式及听证申请</w:t>
      </w:r>
    </w:p>
    <w:p w14:paraId="24BC2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仿宋" w:hAnsi="仿宋" w:eastAsia="仿宋" w:cs="仿宋"/>
          <w:color w:val="333333"/>
          <w:sz w:val="31"/>
          <w:szCs w:val="31"/>
        </w:rPr>
        <w:t>利害关系人如有异议，可在公示期内向本机关提出书面听证申请，本机关对听证申请及相关材料进行审查后，做出是否听证的决定并书面告知听证申请人。逾期未提出听证申请，将视为放弃听证权利。</w:t>
      </w:r>
    </w:p>
    <w:p w14:paraId="6DDB9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仿宋" w:hAnsi="仿宋" w:eastAsia="仿宋" w:cs="仿宋"/>
          <w:color w:val="333333"/>
          <w:sz w:val="31"/>
          <w:szCs w:val="31"/>
        </w:rPr>
      </w:pPr>
      <w:r>
        <w:rPr>
          <w:rFonts w:hint="default" w:ascii="楷体_GB2312" w:eastAsia="楷体_GB2312" w:cs="楷体_GB2312"/>
          <w:color w:val="333333"/>
          <w:sz w:val="31"/>
          <w:szCs w:val="31"/>
        </w:rPr>
        <w:t>备注：</w:t>
      </w:r>
      <w:bookmarkStart w:id="0" w:name="_GoBack"/>
      <w:bookmarkEnd w:id="0"/>
      <w:r>
        <w:rPr>
          <w:rFonts w:hint="eastAsia" w:ascii="仿宋" w:hAnsi="仿宋" w:eastAsia="仿宋" w:cs="仿宋"/>
          <w:color w:val="333333"/>
          <w:sz w:val="31"/>
          <w:szCs w:val="31"/>
        </w:rPr>
        <w:t>以单位名义对公示对象存在问题进行反映的要加盖公章；以个人名义对公示对象存在问题进行反映的，应署真实姓名和联系方式，本机关依法对反映意见的单位和个人进行保密。匿名及超出公示范围的听证申请，本机关不予受理。</w:t>
      </w:r>
    </w:p>
    <w:p w14:paraId="30F17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仿宋" w:hAnsi="仿宋" w:eastAsia="仿宋" w:cs="仿宋"/>
          <w:color w:val="333333"/>
          <w:sz w:val="31"/>
          <w:szCs w:val="31"/>
        </w:rPr>
      </w:pPr>
      <w:r>
        <w:rPr>
          <w:rFonts w:hint="eastAsia" w:ascii="仿宋" w:hAnsi="仿宋" w:eastAsia="仿宋" w:cs="仿宋"/>
          <w:color w:val="333333"/>
          <w:sz w:val="31"/>
          <w:szCs w:val="31"/>
        </w:rPr>
        <w:t>联系电话：0531-</w:t>
      </w:r>
      <w:r>
        <w:rPr>
          <w:rFonts w:hint="eastAsia" w:ascii="仿宋" w:hAnsi="仿宋" w:eastAsia="仿宋" w:cs="仿宋"/>
          <w:color w:val="333333"/>
          <w:sz w:val="31"/>
          <w:szCs w:val="31"/>
          <w:lang w:val="en-US" w:eastAsia="zh-CN"/>
        </w:rPr>
        <w:t>77912776</w:t>
      </w:r>
    </w:p>
    <w:p w14:paraId="23B98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仿宋" w:hAnsi="仿宋" w:eastAsia="仿宋" w:cs="仿宋"/>
          <w:color w:val="333333"/>
          <w:sz w:val="31"/>
          <w:szCs w:val="31"/>
        </w:rPr>
        <w:t>通讯地址：</w:t>
      </w:r>
      <w:r>
        <w:rPr>
          <w:rFonts w:hint="eastAsia" w:ascii="仿宋" w:hAnsi="仿宋" w:eastAsia="仿宋" w:cs="仿宋"/>
          <w:color w:val="333333"/>
          <w:sz w:val="31"/>
          <w:szCs w:val="31"/>
          <w:lang w:eastAsia="zh-CN"/>
        </w:rPr>
        <w:t>济南市钢城区艾山街道府前大街</w:t>
      </w:r>
      <w:r>
        <w:rPr>
          <w:rFonts w:hint="eastAsia" w:ascii="仿宋" w:hAnsi="仿宋" w:eastAsia="仿宋" w:cs="仿宋"/>
          <w:color w:val="333333"/>
          <w:sz w:val="31"/>
          <w:szCs w:val="31"/>
          <w:lang w:val="en-US" w:eastAsia="zh-CN"/>
        </w:rPr>
        <w:t>29号二楼行政审批服务局</w:t>
      </w:r>
      <w:r>
        <w:rPr>
          <w:rFonts w:hint="eastAsia" w:ascii="仿宋" w:hAnsi="仿宋" w:eastAsia="仿宋" w:cs="仿宋"/>
          <w:color w:val="333333"/>
          <w:sz w:val="31"/>
          <w:szCs w:val="31"/>
        </w:rPr>
        <w:t xml:space="preserve"> </w:t>
      </w:r>
    </w:p>
    <w:p w14:paraId="335F8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仿宋" w:hAnsi="仿宋" w:eastAsia="仿宋" w:cs="仿宋"/>
          <w:color w:val="333333"/>
          <w:sz w:val="31"/>
          <w:szCs w:val="31"/>
        </w:rPr>
        <w:t>                 </w:t>
      </w:r>
    </w:p>
    <w:p w14:paraId="0F71B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43" w:leftChars="735" w:right="0" w:firstLine="2170" w:firstLineChars="700"/>
        <w:jc w:val="right"/>
        <w:rPr>
          <w:color w:val="333333"/>
          <w:sz w:val="21"/>
          <w:szCs w:val="21"/>
        </w:rPr>
      </w:pPr>
      <w:r>
        <w:rPr>
          <w:rFonts w:hint="eastAsia" w:ascii="仿宋" w:hAnsi="仿宋" w:eastAsia="仿宋" w:cs="仿宋"/>
          <w:color w:val="333333"/>
          <w:sz w:val="31"/>
          <w:szCs w:val="31"/>
        </w:rPr>
        <w:t>济南市</w:t>
      </w:r>
      <w:r>
        <w:rPr>
          <w:rFonts w:hint="eastAsia" w:ascii="仿宋" w:hAnsi="仿宋" w:eastAsia="仿宋" w:cs="仿宋"/>
          <w:color w:val="333333"/>
          <w:sz w:val="31"/>
          <w:szCs w:val="31"/>
          <w:lang w:val="en-US" w:eastAsia="zh-CN"/>
        </w:rPr>
        <w:t>钢城</w:t>
      </w:r>
      <w:r>
        <w:rPr>
          <w:rFonts w:hint="eastAsia" w:ascii="仿宋" w:hAnsi="仿宋" w:eastAsia="仿宋" w:cs="仿宋"/>
          <w:color w:val="333333"/>
          <w:sz w:val="31"/>
          <w:szCs w:val="31"/>
        </w:rPr>
        <w:t>区行政审批服务局2025年 </w:t>
      </w:r>
      <w:r>
        <w:rPr>
          <w:rFonts w:hint="eastAsia" w:ascii="仿宋" w:hAnsi="仿宋" w:eastAsia="仿宋" w:cs="仿宋"/>
          <w:color w:val="333333"/>
          <w:sz w:val="31"/>
          <w:szCs w:val="31"/>
          <w:lang w:val="en-US" w:eastAsia="zh-CN"/>
        </w:rPr>
        <w:t>9</w:t>
      </w:r>
      <w:r>
        <w:rPr>
          <w:rFonts w:hint="eastAsia" w:ascii="仿宋" w:hAnsi="仿宋" w:eastAsia="仿宋" w:cs="仿宋"/>
          <w:color w:val="333333"/>
          <w:sz w:val="31"/>
          <w:szCs w:val="31"/>
        </w:rPr>
        <w:t> 月 </w:t>
      </w:r>
      <w:r>
        <w:rPr>
          <w:rFonts w:hint="eastAsia" w:ascii="仿宋" w:hAnsi="仿宋" w:eastAsia="仿宋" w:cs="仿宋"/>
          <w:color w:val="333333"/>
          <w:sz w:val="31"/>
          <w:szCs w:val="31"/>
          <w:lang w:val="en-US" w:eastAsia="zh-CN"/>
        </w:rPr>
        <w:t>15</w:t>
      </w:r>
      <w:r>
        <w:rPr>
          <w:rFonts w:hint="eastAsia" w:ascii="仿宋" w:hAnsi="仿宋" w:eastAsia="仿宋" w:cs="仿宋"/>
          <w:color w:val="333333"/>
          <w:sz w:val="31"/>
          <w:szCs w:val="31"/>
        </w:rPr>
        <w:t> 日</w:t>
      </w:r>
    </w:p>
    <w:p w14:paraId="3F123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color w:val="333333"/>
          <w:sz w:val="22"/>
          <w:szCs w:val="22"/>
        </w:rPr>
      </w:pPr>
    </w:p>
    <w:p w14:paraId="7FA649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840A9"/>
    <w:rsid w:val="2B1840A9"/>
    <w:rsid w:val="3AD2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1239</Words>
  <Characters>1291</Characters>
  <Lines>0</Lines>
  <Paragraphs>0</Paragraphs>
  <TotalTime>8</TotalTime>
  <ScaleCrop>false</ScaleCrop>
  <LinksUpToDate>false</LinksUpToDate>
  <CharactersWithSpaces>1353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2025-09-12T00:39:00Z</dcterms:created>
  <dc:creator>Administrator</dc:creator>
  <cp:lastModifiedBy>Administrator</cp:lastModifiedBy>
  <dcterms:modified xsi:type="dcterms:W3CDTF">2025-09-15T06:40:25Z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AD58E41B05F04F7C919871224AA2767F_13</vt:lpwstr>
  </property>
  <property fmtid="{D5CDD505-2E9C-101B-9397-08002B2CF9AE}" pid="4" name="KSOTemplateDocerSaveRecord">
    <vt:lpwstr>eyJoZGlkIjoiYmRlMDA2MmRmNGJjYTgwMTMyN2NjM2Y5MDIwMDAwN2UiLCJ1c2VySWQiOiI1ODE1NjU2ODMifQ==</vt:lpwstr>
  </property>
</Properties>
</file>