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5FCD5D">
      <w:pPr>
        <w:widowControl/>
        <w:overflowPunct w:val="0"/>
        <w:spacing w:line="560" w:lineRule="exact"/>
        <w:jc w:val="both"/>
        <w:rPr>
          <w:rFonts w:hint="eastAsia" w:ascii="Times New Roman" w:hAnsi="Times New Roman" w:eastAsia="方正小标宋简体" w:cs="Times New Roman"/>
          <w:spacing w:val="-17"/>
          <w:sz w:val="44"/>
          <w:szCs w:val="21"/>
        </w:rPr>
      </w:pPr>
    </w:p>
    <w:p w14:paraId="1BD82F2E">
      <w:pPr>
        <w:widowControl/>
        <w:overflowPunct w:val="0"/>
        <w:spacing w:line="560" w:lineRule="exact"/>
        <w:jc w:val="center"/>
        <w:rPr>
          <w:rFonts w:ascii="Times New Roman" w:hAnsi="Times New Roman" w:eastAsia="方正小标宋简体" w:cs="Times New Roman"/>
          <w:spacing w:val="-17"/>
          <w:sz w:val="44"/>
          <w:szCs w:val="21"/>
        </w:rPr>
      </w:pPr>
      <w:r>
        <w:rPr>
          <w:rFonts w:hint="eastAsia" w:ascii="Times New Roman" w:hAnsi="Times New Roman" w:eastAsia="方正小标宋简体" w:cs="Times New Roman"/>
          <w:spacing w:val="-17"/>
          <w:sz w:val="44"/>
          <w:szCs w:val="21"/>
        </w:rPr>
        <w:t>智慧社区建设验收结果公示</w:t>
      </w:r>
    </w:p>
    <w:p w14:paraId="5CE284ED">
      <w:pPr>
        <w:widowControl/>
        <w:overflowPunct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21"/>
        </w:rPr>
      </w:pPr>
    </w:p>
    <w:p w14:paraId="04FB4C48">
      <w:pPr>
        <w:widowControl/>
        <w:overflowPunct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根据《关于加快推进智慧社区建设工作的实施意见》（</w:t>
      </w:r>
      <w:r>
        <w:rPr>
          <w:rFonts w:ascii="Times New Roman" w:hAnsi="Times New Roman" w:eastAsia="仿宋_GB2312" w:cs="Times New Roman"/>
          <w:sz w:val="32"/>
          <w:szCs w:val="32"/>
        </w:rPr>
        <w:t>鲁数发〔2022〕16号</w:t>
      </w:r>
      <w:r>
        <w:rPr>
          <w:rFonts w:hint="eastAsia" w:ascii="Times New Roman" w:hAnsi="Times New Roman" w:eastAsia="仿宋_GB2312" w:cs="Times New Roman"/>
          <w:sz w:val="32"/>
          <w:szCs w:val="21"/>
        </w:rPr>
        <w:t>），经</w:t>
      </w:r>
      <w:r>
        <w:rPr>
          <w:rFonts w:hint="eastAsia" w:ascii="Times New Roman" w:hAnsi="Times New Roman" w:eastAsia="仿宋_GB2312" w:cs="Times New Roman"/>
          <w:sz w:val="32"/>
          <w:szCs w:val="21"/>
          <w:lang w:val="en-US" w:eastAsia="zh-CN"/>
        </w:rPr>
        <w:t>陈家庄</w:t>
      </w:r>
      <w:r>
        <w:rPr>
          <w:rFonts w:hint="eastAsia" w:ascii="Times New Roman" w:hAnsi="Times New Roman" w:eastAsia="仿宋_GB2312" w:cs="Times New Roman"/>
          <w:sz w:val="32"/>
          <w:szCs w:val="21"/>
        </w:rPr>
        <w:t>社区申请</w:t>
      </w:r>
      <w:r>
        <w:rPr>
          <w:rFonts w:hint="eastAsia" w:ascii="Times New Roman" w:hAnsi="Times New Roman" w:eastAsia="仿宋_GB2312" w:cs="Times New Roman"/>
          <w:sz w:val="32"/>
          <w:szCs w:val="21"/>
          <w:lang w:eastAsia="zh-CN"/>
        </w:rPr>
        <w:t>，区大数据</w:t>
      </w:r>
      <w:r>
        <w:rPr>
          <w:rFonts w:hint="eastAsia" w:ascii="Times New Roman" w:hAnsi="Times New Roman" w:eastAsia="仿宋_GB2312" w:cs="Times New Roman"/>
          <w:sz w:val="32"/>
          <w:szCs w:val="21"/>
        </w:rPr>
        <w:t>局于</w:t>
      </w:r>
      <w:r>
        <w:rPr>
          <w:rFonts w:ascii="Times New Roman" w:hAnsi="Times New Roman" w:eastAsia="仿宋_GB2312" w:cs="Times New Roman"/>
          <w:sz w:val="32"/>
          <w:szCs w:val="21"/>
        </w:rPr>
        <w:t>20</w:t>
      </w:r>
      <w:r>
        <w:rPr>
          <w:rFonts w:hint="eastAsia" w:ascii="Times New Roman" w:hAnsi="Times New Roman" w:eastAsia="仿宋_GB2312" w:cs="Times New Roman"/>
          <w:sz w:val="32"/>
          <w:szCs w:val="21"/>
          <w:lang w:val="en-US" w:eastAsia="zh-CN"/>
        </w:rPr>
        <w:t>24</w:t>
      </w:r>
      <w:r>
        <w:rPr>
          <w:rFonts w:hint="eastAsia" w:ascii="Times New Roman" w:hAnsi="Times New Roman" w:eastAsia="仿宋_GB2312" w:cs="Times New Roman"/>
          <w:sz w:val="32"/>
          <w:szCs w:val="21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21"/>
          <w:lang w:val="en-US" w:eastAsia="zh-CN"/>
        </w:rPr>
        <w:t>11</w:t>
      </w:r>
      <w:r>
        <w:rPr>
          <w:rFonts w:hint="eastAsia" w:ascii="Times New Roman" w:hAnsi="Times New Roman" w:eastAsia="仿宋_GB2312" w:cs="Times New Roman"/>
          <w:sz w:val="32"/>
          <w:szCs w:val="21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21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sz w:val="32"/>
          <w:szCs w:val="21"/>
        </w:rPr>
        <w:t>日组织成立了</w:t>
      </w:r>
      <w:r>
        <w:rPr>
          <w:rFonts w:hint="eastAsia" w:ascii="Times New Roman" w:hAnsi="Times New Roman" w:eastAsia="仿宋_GB2312" w:cs="Times New Roman"/>
          <w:sz w:val="32"/>
          <w:szCs w:val="21"/>
          <w:lang w:val="en-US" w:eastAsia="zh-CN"/>
        </w:rPr>
        <w:t>社区</w:t>
      </w:r>
      <w:r>
        <w:rPr>
          <w:rFonts w:hint="eastAsia" w:ascii="Times New Roman" w:hAnsi="Times New Roman" w:eastAsia="仿宋_GB2312" w:cs="Times New Roman"/>
          <w:sz w:val="32"/>
          <w:szCs w:val="21"/>
        </w:rPr>
        <w:t>代表验收工作组并开展智慧社区试点验收工作，经工作组成员一致认定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21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21"/>
          <w:lang w:val="en-US" w:eastAsia="zh-CN"/>
        </w:rPr>
        <w:t>陈家庄</w:t>
      </w:r>
      <w:r>
        <w:rPr>
          <w:rFonts w:hint="eastAsia" w:ascii="Times New Roman" w:hAnsi="Times New Roman" w:eastAsia="仿宋_GB2312" w:cs="Times New Roman"/>
          <w:sz w:val="32"/>
          <w:szCs w:val="21"/>
        </w:rPr>
        <w:t>社区已满足《山东省智慧社区建设指标》中“</w:t>
      </w:r>
      <w:r>
        <w:rPr>
          <w:rFonts w:hint="eastAsia" w:ascii="Times New Roman" w:hAnsi="Times New Roman" w:eastAsia="仿宋_GB2312" w:cs="Times New Roman"/>
          <w:sz w:val="32"/>
          <w:szCs w:val="21"/>
          <w:lang w:val="en-US" w:eastAsia="zh-CN"/>
        </w:rPr>
        <w:t>成长</w:t>
      </w:r>
      <w:r>
        <w:rPr>
          <w:rFonts w:hint="eastAsia" w:ascii="Times New Roman" w:hAnsi="Times New Roman" w:eastAsia="仿宋_GB2312" w:cs="Times New Roman"/>
          <w:sz w:val="32"/>
          <w:szCs w:val="21"/>
        </w:rPr>
        <w:t>型智慧社区”的建设要求。相关内容公示如下：</w:t>
      </w:r>
    </w:p>
    <w:p w14:paraId="74A49955">
      <w:pPr>
        <w:spacing w:before="156" w:beforeLines="50" w:after="156" w:afterLines="50"/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山东省智慧社区建设指标（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成长</w:t>
      </w:r>
      <w:r>
        <w:rPr>
          <w:rFonts w:hint="eastAsia" w:ascii="Times New Roman" w:hAnsi="Times New Roman" w:eastAsia="黑体" w:cs="Times New Roman"/>
          <w:sz w:val="32"/>
          <w:szCs w:val="32"/>
        </w:rPr>
        <w:t>型）</w:t>
      </w:r>
    </w:p>
    <w:tbl>
      <w:tblPr>
        <w:tblStyle w:val="6"/>
        <w:tblW w:w="10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0"/>
        <w:gridCol w:w="496"/>
        <w:gridCol w:w="1698"/>
        <w:gridCol w:w="2650"/>
        <w:gridCol w:w="4138"/>
        <w:gridCol w:w="847"/>
      </w:tblGrid>
      <w:tr w14:paraId="2C1C1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  <w:tblHeader/>
          <w:jc w:val="center"/>
        </w:trPr>
        <w:tc>
          <w:tcPr>
            <w:tcW w:w="530" w:type="dxa"/>
            <w:noWrap w:val="0"/>
            <w:vAlign w:val="center"/>
          </w:tcPr>
          <w:p w14:paraId="3A967847">
            <w:pPr>
              <w:spacing w:line="320" w:lineRule="exact"/>
              <w:jc w:val="center"/>
              <w:rPr>
                <w:rFonts w:ascii="Times New Roman" w:hAnsi="Times New Roman" w:eastAsia="黑体" w:cs="Times New Roman"/>
                <w:sz w:val="28"/>
                <w:szCs w:val="20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0"/>
              </w:rPr>
              <w:t>一级指标</w:t>
            </w:r>
          </w:p>
        </w:tc>
        <w:tc>
          <w:tcPr>
            <w:tcW w:w="496" w:type="dxa"/>
            <w:tcBorders>
              <w:bottom w:val="single" w:color="auto" w:sz="4" w:space="0"/>
            </w:tcBorders>
            <w:noWrap w:val="0"/>
            <w:vAlign w:val="center"/>
          </w:tcPr>
          <w:p w14:paraId="5F3AE4FD">
            <w:pPr>
              <w:spacing w:line="320" w:lineRule="exact"/>
              <w:jc w:val="center"/>
              <w:rPr>
                <w:rFonts w:ascii="Times New Roman" w:hAnsi="Times New Roman" w:eastAsia="黑体" w:cs="Times New Roman"/>
                <w:sz w:val="28"/>
                <w:szCs w:val="20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0"/>
              </w:rPr>
              <w:t>序号</w:t>
            </w:r>
          </w:p>
        </w:tc>
        <w:tc>
          <w:tcPr>
            <w:tcW w:w="1698" w:type="dxa"/>
            <w:noWrap w:val="0"/>
            <w:vAlign w:val="center"/>
          </w:tcPr>
          <w:p w14:paraId="68FEB429">
            <w:pPr>
              <w:spacing w:line="320" w:lineRule="exact"/>
              <w:jc w:val="center"/>
              <w:rPr>
                <w:rFonts w:ascii="Times New Roman" w:hAnsi="Times New Roman" w:eastAsia="黑体" w:cs="Times New Roman"/>
                <w:sz w:val="28"/>
                <w:szCs w:val="20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0"/>
              </w:rPr>
              <w:t>二级指标</w:t>
            </w:r>
          </w:p>
        </w:tc>
        <w:tc>
          <w:tcPr>
            <w:tcW w:w="2650" w:type="dxa"/>
            <w:noWrap w:val="0"/>
            <w:vAlign w:val="center"/>
          </w:tcPr>
          <w:p w14:paraId="4626E13B">
            <w:pPr>
              <w:spacing w:line="320" w:lineRule="exact"/>
              <w:jc w:val="center"/>
              <w:rPr>
                <w:rFonts w:ascii="Times New Roman" w:hAnsi="Times New Roman" w:eastAsia="黑体" w:cs="Times New Roman"/>
                <w:sz w:val="28"/>
                <w:szCs w:val="20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0"/>
              </w:rPr>
              <w:t>指标释义</w:t>
            </w:r>
          </w:p>
        </w:tc>
        <w:tc>
          <w:tcPr>
            <w:tcW w:w="4138" w:type="dxa"/>
            <w:noWrap w:val="0"/>
            <w:vAlign w:val="center"/>
          </w:tcPr>
          <w:p w14:paraId="45DCB11D">
            <w:pPr>
              <w:spacing w:line="320" w:lineRule="exact"/>
              <w:jc w:val="center"/>
              <w:rPr>
                <w:rFonts w:ascii="Times New Roman" w:hAnsi="Times New Roman" w:eastAsia="黑体" w:cs="Times New Roman"/>
                <w:sz w:val="28"/>
                <w:szCs w:val="20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0"/>
              </w:rPr>
              <w:t>标准要求</w:t>
            </w:r>
          </w:p>
        </w:tc>
        <w:tc>
          <w:tcPr>
            <w:tcW w:w="847" w:type="dxa"/>
            <w:noWrap w:val="0"/>
            <w:vAlign w:val="center"/>
          </w:tcPr>
          <w:p w14:paraId="46DABE6F">
            <w:pPr>
              <w:spacing w:line="320" w:lineRule="exact"/>
              <w:jc w:val="center"/>
              <w:rPr>
                <w:rFonts w:ascii="Times New Roman" w:hAnsi="Times New Roman" w:eastAsia="黑体" w:cs="Times New Roman"/>
                <w:sz w:val="28"/>
                <w:szCs w:val="20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0"/>
              </w:rPr>
              <w:t>本社区完成情况</w:t>
            </w:r>
          </w:p>
        </w:tc>
      </w:tr>
      <w:tr w14:paraId="69F67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  <w:jc w:val="center"/>
        </w:trPr>
        <w:tc>
          <w:tcPr>
            <w:tcW w:w="530" w:type="dxa"/>
            <w:vMerge w:val="restart"/>
            <w:noWrap w:val="0"/>
            <w:vAlign w:val="center"/>
          </w:tcPr>
          <w:p w14:paraId="06AD9A62">
            <w:pPr>
              <w:spacing w:line="320" w:lineRule="exact"/>
              <w:jc w:val="both"/>
              <w:rPr>
                <w:rFonts w:ascii="Times New Roman" w:hAnsi="Times New Roman" w:eastAsia="仿宋_GB2312" w:cs="Times New Roman"/>
                <w:sz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基础设施</w:t>
            </w: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354A8794">
            <w:pPr>
              <w:spacing w:line="320" w:lineRule="exact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</w:t>
            </w:r>
          </w:p>
        </w:tc>
        <w:tc>
          <w:tcPr>
            <w:tcW w:w="1698" w:type="dxa"/>
            <w:noWrap w:val="0"/>
            <w:vAlign w:val="center"/>
          </w:tcPr>
          <w:p w14:paraId="1FD00080">
            <w:pPr>
              <w:spacing w:line="320" w:lineRule="exact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有线宽带网络</w:t>
            </w:r>
          </w:p>
        </w:tc>
        <w:tc>
          <w:tcPr>
            <w:tcW w:w="2650" w:type="dxa"/>
            <w:noWrap w:val="0"/>
            <w:vAlign w:val="center"/>
          </w:tcPr>
          <w:p w14:paraId="52F5B5B6">
            <w:pPr>
              <w:spacing w:line="320" w:lineRule="exact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社区内有线宽带网络覆盖情况</w:t>
            </w:r>
          </w:p>
          <w:p w14:paraId="1BF98B55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家庭千兆光纤网络覆盖率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=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具备千兆接入能力的家庭数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/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社区家庭总数</w:t>
            </w:r>
          </w:p>
          <w:p w14:paraId="7C7626BF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  <w:p w14:paraId="4DC513BA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138" w:type="dxa"/>
            <w:noWrap w:val="0"/>
            <w:vAlign w:val="center"/>
          </w:tcPr>
          <w:p w14:paraId="393F9D5E">
            <w:pPr>
              <w:spacing w:line="320" w:lineRule="exact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家庭千兆光纤网络覆盖率达到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8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0%</w:t>
            </w:r>
          </w:p>
        </w:tc>
        <w:tc>
          <w:tcPr>
            <w:tcW w:w="847" w:type="dxa"/>
            <w:noWrap w:val="0"/>
            <w:vAlign w:val="center"/>
          </w:tcPr>
          <w:p w14:paraId="6FF038EB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达标</w:t>
            </w:r>
          </w:p>
          <w:p w14:paraId="28936A5D">
            <w:pPr>
              <w:spacing w:line="320" w:lineRule="exact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68FC1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63F31A23">
            <w:pPr>
              <w:spacing w:line="320" w:lineRule="exact"/>
              <w:jc w:val="both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496" w:type="dxa"/>
            <w:noWrap w:val="0"/>
            <w:vAlign w:val="center"/>
          </w:tcPr>
          <w:p w14:paraId="7F77B1C7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698" w:type="dxa"/>
            <w:noWrap w:val="0"/>
            <w:vAlign w:val="center"/>
          </w:tcPr>
          <w:p w14:paraId="116F8A30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移动通信网络</w:t>
            </w:r>
          </w:p>
        </w:tc>
        <w:tc>
          <w:tcPr>
            <w:tcW w:w="2650" w:type="dxa"/>
            <w:noWrap w:val="0"/>
            <w:vAlign w:val="center"/>
          </w:tcPr>
          <w:p w14:paraId="0241E81D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  <w:p w14:paraId="119B1602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社区内5G网络覆盖情况</w:t>
            </w:r>
          </w:p>
          <w:p w14:paraId="0968B5DA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5G网络覆盖率=5G信号覆盖的区域面积/ 社区总面积</w:t>
            </w:r>
          </w:p>
          <w:p w14:paraId="7D9271A1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  <w:p w14:paraId="773B42C4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  <w:p w14:paraId="0924AC03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  <w:p w14:paraId="3B743B24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  <w:p w14:paraId="54A9508F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4138" w:type="dxa"/>
            <w:noWrap w:val="0"/>
            <w:vAlign w:val="center"/>
          </w:tcPr>
          <w:p w14:paraId="1BA91F2F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5G网络覆盖率达到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0%</w:t>
            </w:r>
          </w:p>
        </w:tc>
        <w:tc>
          <w:tcPr>
            <w:tcW w:w="847" w:type="dxa"/>
            <w:noWrap w:val="0"/>
            <w:vAlign w:val="center"/>
          </w:tcPr>
          <w:p w14:paraId="4C574F8A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达标</w:t>
            </w:r>
          </w:p>
          <w:p w14:paraId="64ED0F6B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 w14:paraId="47B2F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5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26DD7517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</w:rPr>
            </w:pPr>
          </w:p>
        </w:tc>
        <w:tc>
          <w:tcPr>
            <w:tcW w:w="496" w:type="dxa"/>
            <w:noWrap w:val="0"/>
            <w:vAlign w:val="center"/>
          </w:tcPr>
          <w:p w14:paraId="3AEECE95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3</w:t>
            </w:r>
          </w:p>
        </w:tc>
        <w:tc>
          <w:tcPr>
            <w:tcW w:w="1698" w:type="dxa"/>
            <w:noWrap w:val="0"/>
            <w:vAlign w:val="center"/>
          </w:tcPr>
          <w:p w14:paraId="47BE0CCB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广播电视</w:t>
            </w:r>
          </w:p>
        </w:tc>
        <w:tc>
          <w:tcPr>
            <w:tcW w:w="2650" w:type="dxa"/>
            <w:noWrap w:val="0"/>
            <w:vAlign w:val="center"/>
          </w:tcPr>
          <w:p w14:paraId="2A43A9FD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社区内广播电视覆盖情况，包括有线广播 电视和交互式网络电视(IPTV)</w:t>
            </w:r>
          </w:p>
          <w:p w14:paraId="7CF07898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广播电视覆盖率=具备有线广播电视或交 互式网络电视(IPTV)接入能力的家庭数</w:t>
            </w:r>
          </w:p>
          <w:p w14:paraId="7D0F9ACB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/社区家庭总数</w:t>
            </w:r>
          </w:p>
          <w:p w14:paraId="2001B2BA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注 ：</w:t>
            </w:r>
          </w:p>
          <w:p w14:paraId="6FA1EC2D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每个家庭只计算一次</w:t>
            </w:r>
          </w:p>
        </w:tc>
        <w:tc>
          <w:tcPr>
            <w:tcW w:w="4138" w:type="dxa"/>
            <w:noWrap w:val="0"/>
            <w:vAlign w:val="center"/>
          </w:tcPr>
          <w:p w14:paraId="10079436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广播电视覆盖率达到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0%</w:t>
            </w:r>
          </w:p>
        </w:tc>
        <w:tc>
          <w:tcPr>
            <w:tcW w:w="847" w:type="dxa"/>
            <w:noWrap w:val="0"/>
            <w:vAlign w:val="center"/>
          </w:tcPr>
          <w:p w14:paraId="0488EBFE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达标</w:t>
            </w:r>
          </w:p>
          <w:p w14:paraId="5CF0F8C5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 w14:paraId="5A2C5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591A5DD7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</w:rPr>
            </w:pPr>
          </w:p>
        </w:tc>
        <w:tc>
          <w:tcPr>
            <w:tcW w:w="496" w:type="dxa"/>
            <w:noWrap w:val="0"/>
            <w:vAlign w:val="center"/>
          </w:tcPr>
          <w:p w14:paraId="42BDEF7E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4</w:t>
            </w:r>
          </w:p>
        </w:tc>
        <w:tc>
          <w:tcPr>
            <w:tcW w:w="1698" w:type="dxa"/>
            <w:noWrap w:val="0"/>
            <w:vAlign w:val="center"/>
          </w:tcPr>
          <w:p w14:paraId="6150FD2D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视频监控设施</w:t>
            </w:r>
          </w:p>
        </w:tc>
        <w:tc>
          <w:tcPr>
            <w:tcW w:w="2650" w:type="dxa"/>
            <w:noWrap w:val="0"/>
            <w:vAlign w:val="center"/>
          </w:tcPr>
          <w:p w14:paraId="31FB66EA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社区内视频监控设施覆盖、联网和应用情况</w:t>
            </w:r>
          </w:p>
        </w:tc>
        <w:tc>
          <w:tcPr>
            <w:tcW w:w="4138" w:type="dxa"/>
            <w:noWrap w:val="0"/>
            <w:vAlign w:val="center"/>
          </w:tcPr>
          <w:p w14:paraId="4EF2E6A6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1.视频监控在小区出入口、停车库(场)出入口、社区主干道、消防通道等关键位置的覆盖率、联网率、摄像机完好率均达到9</w:t>
            </w: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sz w:val="28"/>
              </w:rPr>
              <w:t>%;</w:t>
            </w:r>
          </w:p>
          <w:p w14:paraId="35F89B3B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2.公共视频资源出图率达到8</w:t>
            </w: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sz w:val="28"/>
              </w:rPr>
              <w:t>%;</w:t>
            </w:r>
          </w:p>
          <w:p w14:paraId="52FB6792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3.视频监控编码、名称、行政区划、经纬度等合规率达到9</w:t>
            </w: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sz w:val="28"/>
              </w:rPr>
              <w:t>%</w:t>
            </w:r>
          </w:p>
        </w:tc>
        <w:tc>
          <w:tcPr>
            <w:tcW w:w="847" w:type="dxa"/>
            <w:noWrap w:val="0"/>
            <w:vAlign w:val="center"/>
          </w:tcPr>
          <w:p w14:paraId="7B853911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达标</w:t>
            </w:r>
          </w:p>
          <w:p w14:paraId="46906174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</w:tr>
      <w:tr w14:paraId="36F25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restart"/>
            <w:noWrap w:val="0"/>
            <w:vAlign w:val="center"/>
          </w:tcPr>
          <w:p w14:paraId="457C1509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基础设施</w:t>
            </w:r>
          </w:p>
        </w:tc>
        <w:tc>
          <w:tcPr>
            <w:tcW w:w="496" w:type="dxa"/>
            <w:noWrap w:val="0"/>
            <w:vAlign w:val="center"/>
          </w:tcPr>
          <w:p w14:paraId="67AD8908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5</w:t>
            </w:r>
          </w:p>
        </w:tc>
        <w:tc>
          <w:tcPr>
            <w:tcW w:w="1698" w:type="dxa"/>
            <w:noWrap w:val="0"/>
            <w:vAlign w:val="center"/>
          </w:tcPr>
          <w:p w14:paraId="49ADCBD9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智能照明设施</w:t>
            </w:r>
          </w:p>
        </w:tc>
        <w:tc>
          <w:tcPr>
            <w:tcW w:w="2650" w:type="dxa"/>
            <w:noWrap w:val="0"/>
            <w:vAlign w:val="center"/>
          </w:tcPr>
          <w:p w14:paraId="63AC8BFC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社区内智能照明设施安装情况</w:t>
            </w:r>
          </w:p>
          <w:p w14:paraId="45B5CECD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智能照明设施安装率=社区内智能照明设</w:t>
            </w:r>
          </w:p>
          <w:p w14:paraId="2957E515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备数/社区内公共照明设备总数</w:t>
            </w:r>
          </w:p>
          <w:p w14:paraId="3C78BE90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注：</w:t>
            </w:r>
          </w:p>
          <w:p w14:paraId="4C4ABA9C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智能照明设施指具有自动亮度调节、远程照明控制、故障主动报警等1项或多项功能的照明设施</w:t>
            </w:r>
          </w:p>
        </w:tc>
        <w:tc>
          <w:tcPr>
            <w:tcW w:w="4138" w:type="dxa"/>
            <w:noWrap w:val="0"/>
            <w:vAlign w:val="center"/>
          </w:tcPr>
          <w:p w14:paraId="6245C2D1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智能照明设施安装率达到80%</w:t>
            </w:r>
          </w:p>
        </w:tc>
        <w:tc>
          <w:tcPr>
            <w:tcW w:w="847" w:type="dxa"/>
            <w:noWrap w:val="0"/>
            <w:vAlign w:val="center"/>
          </w:tcPr>
          <w:p w14:paraId="44C8AD35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达标</w:t>
            </w:r>
          </w:p>
        </w:tc>
      </w:tr>
      <w:tr w14:paraId="11F39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072D3D6F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496" w:type="dxa"/>
            <w:noWrap w:val="0"/>
            <w:vAlign w:val="center"/>
          </w:tcPr>
          <w:p w14:paraId="3C307E26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6</w:t>
            </w:r>
          </w:p>
        </w:tc>
        <w:tc>
          <w:tcPr>
            <w:tcW w:w="1698" w:type="dxa"/>
            <w:noWrap w:val="0"/>
            <w:vAlign w:val="center"/>
          </w:tcPr>
          <w:p w14:paraId="0DB983D0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智能充电设施</w:t>
            </w:r>
          </w:p>
        </w:tc>
        <w:tc>
          <w:tcPr>
            <w:tcW w:w="2650" w:type="dxa"/>
            <w:noWrap w:val="0"/>
            <w:vAlign w:val="center"/>
          </w:tcPr>
          <w:p w14:paraId="35BF8EA1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社区内电动自行车集中停放场所和集中充电设施安装情况</w:t>
            </w:r>
          </w:p>
        </w:tc>
        <w:tc>
          <w:tcPr>
            <w:tcW w:w="4138" w:type="dxa"/>
            <w:noWrap w:val="0"/>
            <w:vAlign w:val="center"/>
          </w:tcPr>
          <w:p w14:paraId="5E957143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社区内有电动自行车的每个小区拥有符合消防、供电等技术规范和安全管理要求的电动自行车集中停放场所，并具备定时充电、自动断电、故障报警等功能的智能安全充电设施</w:t>
            </w:r>
          </w:p>
        </w:tc>
        <w:tc>
          <w:tcPr>
            <w:tcW w:w="847" w:type="dxa"/>
            <w:noWrap w:val="0"/>
            <w:vAlign w:val="center"/>
          </w:tcPr>
          <w:p w14:paraId="27DBCD73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达标</w:t>
            </w:r>
          </w:p>
          <w:p w14:paraId="2467A572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</w:tr>
      <w:tr w14:paraId="00DE7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4D40E708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</w:rPr>
            </w:pPr>
          </w:p>
        </w:tc>
        <w:tc>
          <w:tcPr>
            <w:tcW w:w="496" w:type="dxa"/>
            <w:noWrap w:val="0"/>
            <w:vAlign w:val="center"/>
          </w:tcPr>
          <w:p w14:paraId="13C8376A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7</w:t>
            </w:r>
          </w:p>
        </w:tc>
        <w:tc>
          <w:tcPr>
            <w:tcW w:w="1698" w:type="dxa"/>
            <w:noWrap w:val="0"/>
            <w:vAlign w:val="center"/>
          </w:tcPr>
          <w:p w14:paraId="53C5C52E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家庭能源采集设施</w:t>
            </w:r>
          </w:p>
        </w:tc>
        <w:tc>
          <w:tcPr>
            <w:tcW w:w="2650" w:type="dxa"/>
            <w:noWrap w:val="0"/>
            <w:vAlign w:val="center"/>
          </w:tcPr>
          <w:p w14:paraId="6526C5B3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社区内水、电、燃气等家庭能源自动化采集设施安装情况</w:t>
            </w:r>
          </w:p>
          <w:p w14:paraId="0B348E2A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家庭能源自动化采集设施安装率=远程能源智能监控表数量/社区家庭总数</w:t>
            </w:r>
          </w:p>
        </w:tc>
        <w:tc>
          <w:tcPr>
            <w:tcW w:w="4138" w:type="dxa"/>
            <w:noWrap w:val="0"/>
            <w:vAlign w:val="center"/>
          </w:tcPr>
          <w:p w14:paraId="388C8220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  <w:p w14:paraId="610144B5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  <w:p w14:paraId="7FA24E76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  <w:p w14:paraId="4E6FF319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家庭能源自动化采集设施安装率达到70%</w:t>
            </w:r>
          </w:p>
          <w:p w14:paraId="4DF869BE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  <w:p w14:paraId="7BC76B14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  <w:p w14:paraId="72F92467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  <w:p w14:paraId="6CAD58BD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847" w:type="dxa"/>
            <w:noWrap w:val="0"/>
            <w:vAlign w:val="center"/>
          </w:tcPr>
          <w:p w14:paraId="442BA07B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达标</w:t>
            </w:r>
          </w:p>
        </w:tc>
      </w:tr>
      <w:tr w14:paraId="6A52A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45C8BB99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</w:rPr>
            </w:pPr>
          </w:p>
        </w:tc>
        <w:tc>
          <w:tcPr>
            <w:tcW w:w="496" w:type="dxa"/>
            <w:noWrap w:val="0"/>
            <w:vAlign w:val="center"/>
          </w:tcPr>
          <w:p w14:paraId="72322892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8</w:t>
            </w:r>
          </w:p>
        </w:tc>
        <w:tc>
          <w:tcPr>
            <w:tcW w:w="1698" w:type="dxa"/>
            <w:noWrap w:val="0"/>
            <w:vAlign w:val="center"/>
          </w:tcPr>
          <w:p w14:paraId="3D30B13D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智慧社区综合信息 平台</w:t>
            </w:r>
          </w:p>
        </w:tc>
        <w:tc>
          <w:tcPr>
            <w:tcW w:w="2650" w:type="dxa"/>
            <w:noWrap w:val="0"/>
            <w:vAlign w:val="center"/>
          </w:tcPr>
          <w:p w14:paraId="3B9D82FC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依托市级或县级统建部署的智慧社区综合信息平台为社区居民、社区工作者以及物业服务人等提供一体化的管理和服务</w:t>
            </w:r>
          </w:p>
        </w:tc>
        <w:tc>
          <w:tcPr>
            <w:tcW w:w="4138" w:type="dxa"/>
            <w:noWrap w:val="0"/>
            <w:vAlign w:val="center"/>
          </w:tcPr>
          <w:p w14:paraId="5CDC0840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1.对采集的社区人、地、事、物、情、组织等信息实现集中汇聚、整合管理、动态更新；</w:t>
            </w:r>
          </w:p>
          <w:p w14:paraId="0B3F0EC2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2.实现与智慧物业管理服务平台互联互通；</w:t>
            </w:r>
          </w:p>
          <w:p w14:paraId="6B82110C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3.整合或新建5个智慧社区应用场景，场景类型一般包括托育服务、教育服务、医疗服务、养老服务、 助残服务、就业服务、文体服务、物业服务、便民生活服务、法律服务、社会心理服务、优军优抚服务等社区服务类应用场景和出入管理、周界防范、高空抛物监测、社区警务、特殊人群管理、消防隐患管理、火灾自动报警、应急管理、疫情防控等社区安全类应用场景以及其它特色应用场景</w:t>
            </w:r>
          </w:p>
        </w:tc>
        <w:tc>
          <w:tcPr>
            <w:tcW w:w="847" w:type="dxa"/>
            <w:noWrap w:val="0"/>
            <w:vAlign w:val="center"/>
          </w:tcPr>
          <w:p w14:paraId="67E8DB0D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达标</w:t>
            </w:r>
          </w:p>
          <w:p w14:paraId="695975D1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</w:tr>
      <w:tr w14:paraId="29F71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restart"/>
            <w:noWrap w:val="0"/>
            <w:vAlign w:val="center"/>
          </w:tcPr>
          <w:p w14:paraId="5D46D7EE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社区服务</w:t>
            </w:r>
          </w:p>
        </w:tc>
        <w:tc>
          <w:tcPr>
            <w:tcW w:w="496" w:type="dxa"/>
            <w:noWrap w:val="0"/>
            <w:vAlign w:val="center"/>
          </w:tcPr>
          <w:p w14:paraId="484C2D7D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9</w:t>
            </w:r>
          </w:p>
        </w:tc>
        <w:tc>
          <w:tcPr>
            <w:tcW w:w="1698" w:type="dxa"/>
            <w:noWrap w:val="0"/>
            <w:vAlign w:val="center"/>
          </w:tcPr>
          <w:p w14:paraId="75CAAD45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政务服务</w:t>
            </w:r>
          </w:p>
        </w:tc>
        <w:tc>
          <w:tcPr>
            <w:tcW w:w="2650" w:type="dxa"/>
            <w:noWrap w:val="0"/>
            <w:vAlign w:val="center"/>
          </w:tcPr>
          <w:p w14:paraId="1F661C60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通过线上线下相结合的方式，推动政务服务办理向社区延伸，提升社区政务服务能力</w:t>
            </w:r>
          </w:p>
        </w:tc>
        <w:tc>
          <w:tcPr>
            <w:tcW w:w="4138" w:type="dxa"/>
            <w:noWrap w:val="0"/>
            <w:vAlign w:val="center"/>
          </w:tcPr>
          <w:p w14:paraId="5EFC4673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社区政务服务场所可为居民提供线下或线上“一站式”政务服务，服务形式包括人工窗口、“爱山东”网上办事体验区等</w:t>
            </w:r>
          </w:p>
        </w:tc>
        <w:tc>
          <w:tcPr>
            <w:tcW w:w="847" w:type="dxa"/>
            <w:noWrap w:val="0"/>
            <w:vAlign w:val="center"/>
          </w:tcPr>
          <w:p w14:paraId="2D183F7C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达标</w:t>
            </w:r>
          </w:p>
          <w:p w14:paraId="7B72761F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</w:tr>
      <w:tr w14:paraId="2A74F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01B58BF1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17971E55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10</w:t>
            </w:r>
          </w:p>
        </w:tc>
        <w:tc>
          <w:tcPr>
            <w:tcW w:w="1698" w:type="dxa"/>
            <w:noWrap w:val="0"/>
            <w:vAlign w:val="center"/>
          </w:tcPr>
          <w:p w14:paraId="2A847F68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养老服务</w:t>
            </w:r>
          </w:p>
        </w:tc>
        <w:tc>
          <w:tcPr>
            <w:tcW w:w="2650" w:type="dxa"/>
            <w:noWrap w:val="0"/>
            <w:vAlign w:val="center"/>
          </w:tcPr>
          <w:p w14:paraId="11EADB72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通过智能化手段，为社区老年人提供助餐、助浴、助洁、助医、助行、助急、助乐等  社区养老服务</w:t>
            </w:r>
          </w:p>
        </w:tc>
        <w:tc>
          <w:tcPr>
            <w:tcW w:w="4138" w:type="dxa"/>
            <w:noWrap w:val="0"/>
            <w:vAlign w:val="center"/>
          </w:tcPr>
          <w:p w14:paraId="654408C0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1.社区为60岁及以上常住独居老人配备紧急呼叫装置，实现意外事故发生后15分钟内快速响应；</w:t>
            </w:r>
          </w:p>
          <w:p w14:paraId="48700E3E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2.60岁及以上常住老年人占比超过30%的社区提供2种社区养老服务</w:t>
            </w:r>
          </w:p>
        </w:tc>
        <w:tc>
          <w:tcPr>
            <w:tcW w:w="847" w:type="dxa"/>
            <w:noWrap w:val="0"/>
            <w:vAlign w:val="center"/>
          </w:tcPr>
          <w:p w14:paraId="5AE733AA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  <w:p w14:paraId="32095975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达标</w:t>
            </w:r>
          </w:p>
          <w:p w14:paraId="588FEB8A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  <w:p w14:paraId="0D5FB364">
            <w:pPr>
              <w:pStyle w:val="3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  <w:p w14:paraId="64D461DB">
            <w:pPr>
              <w:pStyle w:val="3"/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</w:tc>
      </w:tr>
      <w:tr w14:paraId="199A0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4625BB14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233675D1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11</w:t>
            </w:r>
          </w:p>
        </w:tc>
        <w:tc>
          <w:tcPr>
            <w:tcW w:w="1698" w:type="dxa"/>
            <w:noWrap w:val="0"/>
            <w:vAlign w:val="center"/>
          </w:tcPr>
          <w:p w14:paraId="12A1DEDF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文体服务</w:t>
            </w:r>
          </w:p>
        </w:tc>
        <w:tc>
          <w:tcPr>
            <w:tcW w:w="2650" w:type="dxa"/>
            <w:noWrap w:val="0"/>
            <w:vAlign w:val="center"/>
          </w:tcPr>
          <w:p w14:paraId="0A1FFA5E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通过智能文体服务设施丰富社区居民日常生活</w:t>
            </w:r>
          </w:p>
        </w:tc>
        <w:tc>
          <w:tcPr>
            <w:tcW w:w="4138" w:type="dxa"/>
            <w:noWrap w:val="0"/>
            <w:vAlign w:val="center"/>
          </w:tcPr>
          <w:p w14:paraId="6C88ADFB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1.社区内拥有1个共享图书角或智能共享图书柜；</w:t>
            </w:r>
          </w:p>
          <w:p w14:paraId="7AD94B9F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2.在社区居民步行15分钟可达范围内拥有1处体育场地</w:t>
            </w:r>
          </w:p>
          <w:p w14:paraId="31B3301B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847" w:type="dxa"/>
            <w:noWrap w:val="0"/>
            <w:vAlign w:val="center"/>
          </w:tcPr>
          <w:p w14:paraId="584CE4A5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达标</w:t>
            </w:r>
          </w:p>
        </w:tc>
      </w:tr>
      <w:tr w14:paraId="624BD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68085AD9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3E8BC637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12</w:t>
            </w:r>
          </w:p>
        </w:tc>
        <w:tc>
          <w:tcPr>
            <w:tcW w:w="1698" w:type="dxa"/>
            <w:noWrap w:val="0"/>
            <w:vAlign w:val="center"/>
          </w:tcPr>
          <w:p w14:paraId="79174B2A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便民生活服务</w:t>
            </w:r>
          </w:p>
        </w:tc>
        <w:tc>
          <w:tcPr>
            <w:tcW w:w="2650" w:type="dxa"/>
            <w:noWrap w:val="0"/>
            <w:vAlign w:val="center"/>
          </w:tcPr>
          <w:p w14:paraId="09E193AD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通过智能化手段，满足社区居民多样化的生活服务需求</w:t>
            </w:r>
          </w:p>
        </w:tc>
        <w:tc>
          <w:tcPr>
            <w:tcW w:w="4138" w:type="dxa"/>
            <w:noWrap w:val="0"/>
            <w:vAlign w:val="center"/>
          </w:tcPr>
          <w:p w14:paraId="00BFB23D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社区内按需配备智能便民服务设施，设施类型一般包括智能快件箱、无人售卖机、智能共享直饮水机等</w:t>
            </w:r>
          </w:p>
        </w:tc>
        <w:tc>
          <w:tcPr>
            <w:tcW w:w="847" w:type="dxa"/>
            <w:noWrap w:val="0"/>
            <w:vAlign w:val="center"/>
          </w:tcPr>
          <w:p w14:paraId="2F77732A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达标</w:t>
            </w:r>
          </w:p>
          <w:p w14:paraId="6DECCA9F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</w:tr>
      <w:tr w14:paraId="43774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3B1E0637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4BFA5467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13</w:t>
            </w:r>
          </w:p>
        </w:tc>
        <w:tc>
          <w:tcPr>
            <w:tcW w:w="1698" w:type="dxa"/>
            <w:noWrap w:val="0"/>
            <w:vAlign w:val="center"/>
          </w:tcPr>
          <w:p w14:paraId="411BCAA6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物业(公共事业)服务</w:t>
            </w:r>
          </w:p>
        </w:tc>
        <w:tc>
          <w:tcPr>
            <w:tcW w:w="2650" w:type="dxa"/>
            <w:noWrap w:val="0"/>
            <w:vAlign w:val="center"/>
          </w:tcPr>
          <w:p w14:paraId="6B6B2589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通过智能化手段，提升社区物业管理服务水平</w:t>
            </w:r>
          </w:p>
        </w:tc>
        <w:tc>
          <w:tcPr>
            <w:tcW w:w="4138" w:type="dxa"/>
            <w:noWrap w:val="0"/>
            <w:vAlign w:val="center"/>
          </w:tcPr>
          <w:p w14:paraId="01BF7836">
            <w:pPr>
              <w:pStyle w:val="3"/>
              <w:numPr>
                <w:ilvl w:val="0"/>
                <w:numId w:val="0"/>
              </w:numPr>
              <w:rPr>
                <w:rFonts w:hint="default" w:ascii="Times New Roman" w:hAnsi="Times New Roman" w:eastAsia="仿宋_GB2312" w:cs="Times New Roman"/>
                <w:b w:val="0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kern w:val="2"/>
                <w:sz w:val="28"/>
                <w:szCs w:val="24"/>
                <w:lang w:val="en-US" w:eastAsia="zh-CN" w:bidi="ar-SA"/>
              </w:rPr>
              <w:t>1.能够提供水、电、气、暖、物业费等便捷化的线上缴费服务；</w:t>
            </w:r>
          </w:p>
          <w:p w14:paraId="0143FA64">
            <w:pPr>
              <w:pStyle w:val="3"/>
              <w:numPr>
                <w:ilvl w:val="0"/>
                <w:numId w:val="0"/>
              </w:numPr>
              <w:rPr>
                <w:rFonts w:hint="default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kern w:val="2"/>
                <w:sz w:val="28"/>
                <w:szCs w:val="24"/>
                <w:lang w:val="en-US" w:eastAsia="zh-CN" w:bidi="ar-SA"/>
              </w:rPr>
              <w:t>2.社区内80%小区实现垃圾分类的智能化监控或按需部署智能垃圾分类设施</w:t>
            </w:r>
          </w:p>
        </w:tc>
        <w:tc>
          <w:tcPr>
            <w:tcW w:w="847" w:type="dxa"/>
            <w:noWrap w:val="0"/>
            <w:vAlign w:val="center"/>
          </w:tcPr>
          <w:p w14:paraId="03EB7224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达标</w:t>
            </w:r>
          </w:p>
          <w:p w14:paraId="31389E6D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</w:tr>
      <w:tr w14:paraId="651AC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restart"/>
            <w:noWrap w:val="0"/>
            <w:vAlign w:val="center"/>
          </w:tcPr>
          <w:p w14:paraId="316C0722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社区安全</w:t>
            </w:r>
          </w:p>
        </w:tc>
        <w:tc>
          <w:tcPr>
            <w:tcW w:w="0" w:type="auto"/>
            <w:noWrap w:val="0"/>
            <w:vAlign w:val="center"/>
          </w:tcPr>
          <w:p w14:paraId="30FA0774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14</w:t>
            </w:r>
          </w:p>
        </w:tc>
        <w:tc>
          <w:tcPr>
            <w:tcW w:w="1698" w:type="dxa"/>
            <w:noWrap w:val="0"/>
            <w:vAlign w:val="center"/>
          </w:tcPr>
          <w:p w14:paraId="7B4D2099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社区警务</w:t>
            </w:r>
          </w:p>
        </w:tc>
        <w:tc>
          <w:tcPr>
            <w:tcW w:w="2650" w:type="dxa"/>
            <w:noWrap w:val="0"/>
            <w:vAlign w:val="center"/>
          </w:tcPr>
          <w:p w14:paraId="596E2D66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依托智慧社区综合信息平台，提高社区平安建设能力水平</w:t>
            </w:r>
          </w:p>
        </w:tc>
        <w:tc>
          <w:tcPr>
            <w:tcW w:w="4138" w:type="dxa"/>
            <w:noWrap w:val="0"/>
            <w:vAlign w:val="center"/>
          </w:tcPr>
          <w:p w14:paraId="1BF82E1C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实现治安防范预警信息发布，支持警情发布、社区居民自主上报和社情共享</w:t>
            </w:r>
          </w:p>
        </w:tc>
        <w:tc>
          <w:tcPr>
            <w:tcW w:w="847" w:type="dxa"/>
            <w:noWrap w:val="0"/>
            <w:vAlign w:val="center"/>
          </w:tcPr>
          <w:p w14:paraId="391B865F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达标</w:t>
            </w:r>
          </w:p>
          <w:p w14:paraId="37B5CB9E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</w:tr>
      <w:tr w14:paraId="41185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3D34708C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5BF9F5DB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15</w:t>
            </w:r>
          </w:p>
        </w:tc>
        <w:tc>
          <w:tcPr>
            <w:tcW w:w="1698" w:type="dxa"/>
            <w:noWrap w:val="0"/>
            <w:vAlign w:val="center"/>
          </w:tcPr>
          <w:p w14:paraId="3D781107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出入管理</w:t>
            </w:r>
          </w:p>
        </w:tc>
        <w:tc>
          <w:tcPr>
            <w:tcW w:w="2650" w:type="dxa"/>
            <w:noWrap w:val="0"/>
            <w:vAlign w:val="center"/>
          </w:tcPr>
          <w:p w14:paraId="39D0A138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实现社区内封闭式小区出入人员和车辆的智能化管理</w:t>
            </w:r>
          </w:p>
        </w:tc>
        <w:tc>
          <w:tcPr>
            <w:tcW w:w="4138" w:type="dxa"/>
            <w:noWrap w:val="0"/>
            <w:vAlign w:val="center"/>
          </w:tcPr>
          <w:p w14:paraId="3290C9D8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社区内封闭式小区出入口部署智能门禁系统，实现人员和车辆的通行认证</w:t>
            </w:r>
          </w:p>
        </w:tc>
        <w:tc>
          <w:tcPr>
            <w:tcW w:w="847" w:type="dxa"/>
            <w:noWrap w:val="0"/>
            <w:vAlign w:val="center"/>
          </w:tcPr>
          <w:p w14:paraId="1A08CE80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达标</w:t>
            </w:r>
          </w:p>
          <w:p w14:paraId="4C928048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</w:tr>
      <w:tr w14:paraId="736CD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63019844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063B406B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16</w:t>
            </w:r>
          </w:p>
        </w:tc>
        <w:tc>
          <w:tcPr>
            <w:tcW w:w="1698" w:type="dxa"/>
            <w:noWrap w:val="0"/>
            <w:vAlign w:val="center"/>
          </w:tcPr>
          <w:p w14:paraId="5141B147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周界防范</w:t>
            </w:r>
          </w:p>
        </w:tc>
        <w:tc>
          <w:tcPr>
            <w:tcW w:w="2650" w:type="dxa"/>
            <w:noWrap w:val="0"/>
            <w:vAlign w:val="center"/>
          </w:tcPr>
          <w:p w14:paraId="0974F462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实现社区内封闭式小区周界入侵、攀高、翻越围墙等异常情况监测报警</w:t>
            </w:r>
          </w:p>
        </w:tc>
        <w:tc>
          <w:tcPr>
            <w:tcW w:w="4138" w:type="dxa"/>
            <w:noWrap w:val="0"/>
            <w:vAlign w:val="center"/>
          </w:tcPr>
          <w:p w14:paraId="26CA657E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社区内封闭式小区通过红外监测、雷达监测、电子围栏、周界视频监控等周界防护设施(至少具备 一种),实现入侵监测报警</w:t>
            </w:r>
          </w:p>
        </w:tc>
        <w:tc>
          <w:tcPr>
            <w:tcW w:w="847" w:type="dxa"/>
            <w:noWrap w:val="0"/>
            <w:vAlign w:val="center"/>
          </w:tcPr>
          <w:p w14:paraId="500C422B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达标</w:t>
            </w:r>
          </w:p>
          <w:p w14:paraId="289B1AA8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</w:tr>
      <w:tr w14:paraId="41335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092E7E1F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26269BBE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  <w:p w14:paraId="4DE52E6C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17</w:t>
            </w:r>
          </w:p>
        </w:tc>
        <w:tc>
          <w:tcPr>
            <w:tcW w:w="1698" w:type="dxa"/>
            <w:noWrap w:val="0"/>
            <w:vAlign w:val="center"/>
          </w:tcPr>
          <w:p w14:paraId="30EB8790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高空抛物监测</w:t>
            </w:r>
          </w:p>
        </w:tc>
        <w:tc>
          <w:tcPr>
            <w:tcW w:w="2650" w:type="dxa"/>
            <w:noWrap w:val="0"/>
            <w:vAlign w:val="center"/>
          </w:tcPr>
          <w:p w14:paraId="2D44FFCF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在社区内部署高空抛物摄像头，实现高空抛物感知、识别和报警</w:t>
            </w:r>
          </w:p>
        </w:tc>
        <w:tc>
          <w:tcPr>
            <w:tcW w:w="4138" w:type="dxa"/>
            <w:noWrap w:val="0"/>
            <w:vAlign w:val="center"/>
          </w:tcPr>
          <w:p w14:paraId="7EB283CF">
            <w:pPr>
              <w:spacing w:line="320" w:lineRule="exact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社区内12层及以上住宅实现高空抛物监控报警，监控范围覆盖3层及以上所有窗户和洞口</w:t>
            </w:r>
          </w:p>
        </w:tc>
        <w:tc>
          <w:tcPr>
            <w:tcW w:w="847" w:type="dxa"/>
            <w:noWrap w:val="0"/>
            <w:vAlign w:val="center"/>
          </w:tcPr>
          <w:p w14:paraId="51CCF180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  <w:p w14:paraId="0B6EE0C8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  <w:p w14:paraId="3DDBF6E1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  <w:p w14:paraId="12CC431E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  <w:p w14:paraId="5A948109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达标</w:t>
            </w:r>
          </w:p>
          <w:p w14:paraId="7E1F2BE8">
            <w:pPr>
              <w:pStyle w:val="3"/>
              <w:rPr>
                <w:rFonts w:hint="default"/>
                <w:lang w:val="en-US" w:eastAsia="zh-CN"/>
              </w:rPr>
            </w:pPr>
          </w:p>
          <w:p w14:paraId="6CA4AD3E">
            <w:pPr>
              <w:rPr>
                <w:rFonts w:hint="default"/>
                <w:lang w:val="en-US" w:eastAsia="zh-CN"/>
              </w:rPr>
            </w:pPr>
          </w:p>
          <w:p w14:paraId="33B8A04F">
            <w:pPr>
              <w:rPr>
                <w:rFonts w:hint="default"/>
                <w:lang w:val="en-US" w:eastAsia="zh-CN"/>
              </w:rPr>
            </w:pPr>
          </w:p>
          <w:p w14:paraId="128A552D">
            <w:pPr>
              <w:rPr>
                <w:rFonts w:hint="default"/>
                <w:lang w:val="en-US" w:eastAsia="zh-CN"/>
              </w:rPr>
            </w:pPr>
          </w:p>
        </w:tc>
      </w:tr>
      <w:tr w14:paraId="5E84F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374C541A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1EDDF371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18</w:t>
            </w:r>
          </w:p>
        </w:tc>
        <w:tc>
          <w:tcPr>
            <w:tcW w:w="1698" w:type="dxa"/>
            <w:noWrap w:val="0"/>
            <w:vAlign w:val="center"/>
          </w:tcPr>
          <w:p w14:paraId="0B5EB6BE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特殊人群管理</w:t>
            </w:r>
          </w:p>
        </w:tc>
        <w:tc>
          <w:tcPr>
            <w:tcW w:w="2650" w:type="dxa"/>
            <w:noWrap w:val="0"/>
            <w:vAlign w:val="center"/>
          </w:tcPr>
          <w:p w14:paraId="4DB5C525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通过智能化手段，实现社区内刑满释放人员、社区矫正对象、吸毒人员、解除强制隔离戒毒人员、精神病人、犯罪青少年和其他重点人员等特殊人群的监督管理，轨迹，并及时核对上报</w:t>
            </w:r>
          </w:p>
        </w:tc>
        <w:tc>
          <w:tcPr>
            <w:tcW w:w="4138" w:type="dxa"/>
            <w:noWrap w:val="0"/>
            <w:vAlign w:val="center"/>
          </w:tcPr>
          <w:p w14:paraId="11579D8A">
            <w:pPr>
              <w:pStyle w:val="3"/>
              <w:ind w:left="0" w:leftChars="0" w:firstLine="0" w:firstLineChars="0"/>
              <w:rPr>
                <w:rFonts w:hint="eastAsia" w:ascii="Times New Roman" w:hAnsi="Times New Roman" w:eastAsia="仿宋_GB2312" w:cs="Times New Roman"/>
                <w:b w:val="0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kern w:val="2"/>
                <w:sz w:val="28"/>
                <w:szCs w:val="24"/>
                <w:lang w:val="en-US" w:eastAsia="zh-CN" w:bidi="ar-SA"/>
              </w:rPr>
              <w:t>社区为特殊人群建档立卡并实时推送相关政策和服务信息，多渠道收集特殊人群的行为异常信息、活动</w:t>
            </w:r>
          </w:p>
        </w:tc>
        <w:tc>
          <w:tcPr>
            <w:tcW w:w="847" w:type="dxa"/>
            <w:noWrap w:val="0"/>
            <w:vAlign w:val="center"/>
          </w:tcPr>
          <w:p w14:paraId="3B99C9BF">
            <w:pPr>
              <w:pStyle w:val="3"/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kern w:val="2"/>
                <w:sz w:val="28"/>
                <w:szCs w:val="24"/>
                <w:lang w:val="en-US" w:eastAsia="zh-CN" w:bidi="ar-SA"/>
              </w:rPr>
              <w:t>达标</w:t>
            </w:r>
          </w:p>
        </w:tc>
      </w:tr>
      <w:tr w14:paraId="25D35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56712E60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272FD062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19</w:t>
            </w:r>
          </w:p>
        </w:tc>
        <w:tc>
          <w:tcPr>
            <w:tcW w:w="1698" w:type="dxa"/>
            <w:noWrap w:val="0"/>
            <w:vAlign w:val="center"/>
          </w:tcPr>
          <w:p w14:paraId="6457EADA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消防隐患管理</w:t>
            </w:r>
          </w:p>
        </w:tc>
        <w:tc>
          <w:tcPr>
            <w:tcW w:w="2650" w:type="dxa"/>
            <w:noWrap w:val="0"/>
            <w:vAlign w:val="center"/>
          </w:tcPr>
          <w:p w14:paraId="509F7FC4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通过智能化手段，识别社区公共区域的消防隐患，提升社区消防安全管理水平</w:t>
            </w:r>
          </w:p>
        </w:tc>
        <w:tc>
          <w:tcPr>
            <w:tcW w:w="4138" w:type="dxa"/>
            <w:noWrap w:val="0"/>
            <w:vAlign w:val="center"/>
          </w:tcPr>
          <w:p w14:paraId="11117DD5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1.社区内80%小区实现消防通道占用、消防栓异常、防火门打开、电气设施异常等情况的自动化识别和上报；</w:t>
            </w:r>
          </w:p>
          <w:p w14:paraId="6DE121F4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2.社区内80%小区实现电动车进电梯智能识别、自动报警</w:t>
            </w:r>
          </w:p>
        </w:tc>
        <w:tc>
          <w:tcPr>
            <w:tcW w:w="847" w:type="dxa"/>
            <w:noWrap w:val="0"/>
            <w:vAlign w:val="center"/>
          </w:tcPr>
          <w:p w14:paraId="6B8F7BCC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达标</w:t>
            </w:r>
          </w:p>
          <w:p w14:paraId="133F2221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</w:tr>
      <w:tr w14:paraId="1A6BC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20A82D06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3B83C3B0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20</w:t>
            </w:r>
          </w:p>
        </w:tc>
        <w:tc>
          <w:tcPr>
            <w:tcW w:w="1698" w:type="dxa"/>
            <w:noWrap w:val="0"/>
            <w:vAlign w:val="center"/>
          </w:tcPr>
          <w:p w14:paraId="325DC181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火灾自动报警</w:t>
            </w:r>
          </w:p>
        </w:tc>
        <w:tc>
          <w:tcPr>
            <w:tcW w:w="2650" w:type="dxa"/>
            <w:noWrap w:val="0"/>
            <w:vAlign w:val="center"/>
          </w:tcPr>
          <w:p w14:paraId="4623C9DB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通过智能化手段，实现火灾自动报警，提高社区火情处置能力</w:t>
            </w:r>
          </w:p>
        </w:tc>
        <w:tc>
          <w:tcPr>
            <w:tcW w:w="4138" w:type="dxa"/>
            <w:noWrap w:val="0"/>
            <w:vAlign w:val="center"/>
          </w:tcPr>
          <w:p w14:paraId="3EB219C5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社区内住宅建筑公共区域实现火灾自动报警系统全覆盖</w:t>
            </w:r>
          </w:p>
        </w:tc>
        <w:tc>
          <w:tcPr>
            <w:tcW w:w="847" w:type="dxa"/>
            <w:noWrap w:val="0"/>
            <w:vAlign w:val="center"/>
          </w:tcPr>
          <w:p w14:paraId="6E83F8F4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达标</w:t>
            </w:r>
          </w:p>
          <w:p w14:paraId="76E7F728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</w:tr>
      <w:tr w14:paraId="515B3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restart"/>
            <w:noWrap w:val="0"/>
            <w:vAlign w:val="center"/>
          </w:tcPr>
          <w:p w14:paraId="450CE9DE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社区治理</w:t>
            </w:r>
          </w:p>
          <w:p w14:paraId="4253D6DA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232D7C6C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21</w:t>
            </w:r>
          </w:p>
        </w:tc>
        <w:tc>
          <w:tcPr>
            <w:tcW w:w="1698" w:type="dxa"/>
            <w:noWrap w:val="0"/>
            <w:vAlign w:val="center"/>
          </w:tcPr>
          <w:p w14:paraId="2A5DED44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治理方式创新</w:t>
            </w:r>
          </w:p>
        </w:tc>
        <w:tc>
          <w:tcPr>
            <w:tcW w:w="2650" w:type="dxa"/>
            <w:noWrap w:val="0"/>
            <w:vAlign w:val="center"/>
          </w:tcPr>
          <w:p w14:paraId="5EC2F1A2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依托智慧社区综合信息平台，提升社区治理精细化、智能化水平</w:t>
            </w:r>
          </w:p>
        </w:tc>
        <w:tc>
          <w:tcPr>
            <w:tcW w:w="4138" w:type="dxa"/>
            <w:noWrap w:val="0"/>
            <w:vAlign w:val="center"/>
          </w:tcPr>
          <w:p w14:paraId="5E0E2C84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1.依托智慧社区综合信息平台，发挥数字技术在社区治理和辅助决策中的作用；</w:t>
            </w:r>
          </w:p>
          <w:p w14:paraId="04FB784C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2.推动社区党建工作与党员管理服务信息化，实现社区党员、社区工作者等信息统一采集入库</w:t>
            </w:r>
          </w:p>
        </w:tc>
        <w:tc>
          <w:tcPr>
            <w:tcW w:w="847" w:type="dxa"/>
            <w:noWrap w:val="0"/>
            <w:vAlign w:val="center"/>
          </w:tcPr>
          <w:p w14:paraId="0508799C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达标</w:t>
            </w:r>
          </w:p>
          <w:p w14:paraId="07395AF0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</w:tr>
      <w:tr w14:paraId="49BD9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77B03877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08F2D3DE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22</w:t>
            </w:r>
          </w:p>
        </w:tc>
        <w:tc>
          <w:tcPr>
            <w:tcW w:w="1698" w:type="dxa"/>
            <w:noWrap w:val="0"/>
            <w:vAlign w:val="center"/>
          </w:tcPr>
          <w:p w14:paraId="0C615375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居民参与共治</w:t>
            </w:r>
          </w:p>
        </w:tc>
        <w:tc>
          <w:tcPr>
            <w:tcW w:w="2650" w:type="dxa"/>
            <w:noWrap w:val="0"/>
            <w:vAlign w:val="center"/>
          </w:tcPr>
          <w:p w14:paraId="7D8A55AD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运用智能化手段，进一步拓宽、畅通群众参与渠道，不断优化共建共治共享工作机制</w:t>
            </w:r>
          </w:p>
        </w:tc>
        <w:tc>
          <w:tcPr>
            <w:tcW w:w="4138" w:type="dxa"/>
            <w:noWrap w:val="0"/>
            <w:vAlign w:val="center"/>
          </w:tcPr>
          <w:p w14:paraId="15ED2D67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1.采用网上选民登记等方式开展民主选举工作；</w:t>
            </w:r>
          </w:p>
          <w:p w14:paraId="738E1FD5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2.按需组织线上议事协商活动，原则上每年不少于2次；</w:t>
            </w:r>
          </w:p>
          <w:p w14:paraId="3A1282A5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3.党务、居务、财务线上线下同步公开，接受群众监督</w:t>
            </w:r>
          </w:p>
          <w:p w14:paraId="4DC18AF9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847" w:type="dxa"/>
            <w:noWrap w:val="0"/>
            <w:vAlign w:val="center"/>
          </w:tcPr>
          <w:p w14:paraId="3F9C5B23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达标</w:t>
            </w:r>
          </w:p>
          <w:p w14:paraId="7B1EDE40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</w:tr>
      <w:tr w14:paraId="6C311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9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395FFED9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0F6F4315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23</w:t>
            </w:r>
          </w:p>
        </w:tc>
        <w:tc>
          <w:tcPr>
            <w:tcW w:w="1698" w:type="dxa"/>
            <w:noWrap w:val="0"/>
            <w:vAlign w:val="center"/>
          </w:tcPr>
          <w:p w14:paraId="68D6D9CE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疫情防控</w:t>
            </w:r>
          </w:p>
        </w:tc>
        <w:tc>
          <w:tcPr>
            <w:tcW w:w="2650" w:type="dxa"/>
            <w:noWrap w:val="0"/>
            <w:vAlign w:val="center"/>
          </w:tcPr>
          <w:p w14:paraId="372D81AA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依托智慧社区综合信息平台，提高社区疫情防控工作的精细化、智能化、科学化水平</w:t>
            </w:r>
          </w:p>
        </w:tc>
        <w:tc>
          <w:tcPr>
            <w:tcW w:w="4138" w:type="dxa"/>
            <w:noWrap w:val="0"/>
            <w:vAlign w:val="center"/>
          </w:tcPr>
          <w:p w14:paraId="4F7F1BD3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  <w:p w14:paraId="3F6483C2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  <w:p w14:paraId="26973501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1.实现疫苗接种、核酸检测、重点人员等防控信息管理；</w:t>
            </w:r>
          </w:p>
          <w:p w14:paraId="209D6EDD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2.实时发布当地疫情防控的政策措施，实现疫情信息动态更新</w:t>
            </w:r>
          </w:p>
          <w:p w14:paraId="4B4DD167">
            <w:pPr>
              <w:pStyle w:val="3"/>
              <w:rPr>
                <w:rFonts w:hint="eastAsia"/>
                <w:lang w:val="en-US" w:eastAsia="zh-CN"/>
              </w:rPr>
            </w:pPr>
          </w:p>
          <w:p w14:paraId="34CEA6EB">
            <w:pPr>
              <w:rPr>
                <w:rFonts w:hint="eastAsia"/>
                <w:lang w:val="en-US" w:eastAsia="zh-CN"/>
              </w:rPr>
            </w:pPr>
          </w:p>
          <w:p w14:paraId="15F24011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847" w:type="dxa"/>
            <w:noWrap w:val="0"/>
            <w:vAlign w:val="center"/>
          </w:tcPr>
          <w:p w14:paraId="034C4CD3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达标</w:t>
            </w:r>
          </w:p>
          <w:p w14:paraId="377F8F37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</w:tr>
      <w:tr w14:paraId="7AC510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restart"/>
            <w:noWrap w:val="0"/>
            <w:vAlign w:val="center"/>
          </w:tcPr>
          <w:p w14:paraId="4F5461ED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保障措施</w:t>
            </w:r>
          </w:p>
        </w:tc>
        <w:tc>
          <w:tcPr>
            <w:tcW w:w="0" w:type="auto"/>
            <w:noWrap w:val="0"/>
            <w:vAlign w:val="center"/>
          </w:tcPr>
          <w:p w14:paraId="342568FF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24</w:t>
            </w:r>
          </w:p>
        </w:tc>
        <w:tc>
          <w:tcPr>
            <w:tcW w:w="1698" w:type="dxa"/>
            <w:noWrap w:val="0"/>
            <w:vAlign w:val="center"/>
          </w:tcPr>
          <w:p w14:paraId="7B4ECDAB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体制机制</w:t>
            </w:r>
          </w:p>
        </w:tc>
        <w:tc>
          <w:tcPr>
            <w:tcW w:w="2650" w:type="dxa"/>
            <w:noWrap w:val="0"/>
            <w:vAlign w:val="center"/>
          </w:tcPr>
          <w:p w14:paraId="62810F24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智慧社区的组织机制建设和规划制定情况</w:t>
            </w:r>
          </w:p>
        </w:tc>
        <w:tc>
          <w:tcPr>
            <w:tcW w:w="4138" w:type="dxa"/>
            <w:noWrap w:val="0"/>
            <w:vAlign w:val="center"/>
          </w:tcPr>
          <w:p w14:paraId="3A12704C">
            <w:pPr>
              <w:spacing w:before="50" w:line="400" w:lineRule="exact"/>
              <w:ind w:left="136" w:right="72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8"/>
                <w:szCs w:val="28"/>
              </w:rPr>
              <w:t>1.形成智慧社区建设领导组织体系</w:t>
            </w: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</w:rPr>
              <w:t>和统筹协调机制，明确责任分工和</w:t>
            </w:r>
            <w:r>
              <w:rPr>
                <w:rFonts w:hint="eastAsia" w:ascii="仿宋_GB2312" w:hAnsi="仿宋_GB2312" w:eastAsia="仿宋_GB2312" w:cs="仿宋_GB2312"/>
                <w:spacing w:val="26"/>
                <w:sz w:val="28"/>
                <w:szCs w:val="28"/>
              </w:rPr>
              <w:t>推进方案；</w:t>
            </w:r>
          </w:p>
          <w:p w14:paraId="0EFEE829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</w:rPr>
              <w:t>2.具有明确的智慧社区运营主体；</w:t>
            </w:r>
            <w:r>
              <w:rPr>
                <w:rFonts w:hint="eastAsia" w:ascii="仿宋_GB2312" w:hAnsi="仿宋_GB2312" w:eastAsia="仿宋_GB2312" w:cs="仿宋_GB2312"/>
                <w:spacing w:val="10"/>
                <w:sz w:val="28"/>
                <w:szCs w:val="28"/>
              </w:rPr>
              <w:t>3.智慧社区建设纳入市级或县级统</w:t>
            </w:r>
            <w:r>
              <w:rPr>
                <w:rFonts w:hint="eastAsia" w:ascii="仿宋_GB2312" w:hAnsi="仿宋_GB2312" w:eastAsia="仿宋_GB2312" w:cs="仿宋_GB2312"/>
                <w:spacing w:val="11"/>
                <w:sz w:val="28"/>
                <w:szCs w:val="28"/>
              </w:rPr>
              <w:t>一的智慧城市建设规划或单独的智</w:t>
            </w:r>
            <w:r>
              <w:rPr>
                <w:rFonts w:hint="eastAsia" w:ascii="仿宋_GB2312" w:hAnsi="仿宋_GB2312" w:eastAsia="仿宋_GB2312" w:cs="仿宋_GB2312"/>
                <w:spacing w:val="12"/>
                <w:sz w:val="28"/>
                <w:szCs w:val="28"/>
              </w:rPr>
              <w:t>慧社区规划</w:t>
            </w:r>
          </w:p>
        </w:tc>
        <w:tc>
          <w:tcPr>
            <w:tcW w:w="847" w:type="dxa"/>
            <w:noWrap w:val="0"/>
            <w:vAlign w:val="center"/>
          </w:tcPr>
          <w:p w14:paraId="265305AC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达标</w:t>
            </w:r>
          </w:p>
        </w:tc>
      </w:tr>
      <w:tr w14:paraId="4EE77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5200B835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16C82BD5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25</w:t>
            </w:r>
          </w:p>
        </w:tc>
        <w:tc>
          <w:tcPr>
            <w:tcW w:w="1698" w:type="dxa"/>
            <w:noWrap w:val="0"/>
            <w:vAlign w:val="center"/>
          </w:tcPr>
          <w:p w14:paraId="294DBB93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宣传普及</w:t>
            </w:r>
          </w:p>
        </w:tc>
        <w:tc>
          <w:tcPr>
            <w:tcW w:w="2650" w:type="dxa"/>
            <w:noWrap w:val="0"/>
            <w:vAlign w:val="center"/>
          </w:tcPr>
          <w:p w14:paraId="2699A4AC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面向社区居民，宣传普及智慧社区建设成效</w:t>
            </w:r>
          </w:p>
        </w:tc>
        <w:tc>
          <w:tcPr>
            <w:tcW w:w="4138" w:type="dxa"/>
            <w:noWrap w:val="0"/>
            <w:vAlign w:val="center"/>
          </w:tcPr>
          <w:p w14:paraId="1B171D5C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每年开展2次智慧社区宣传普及活动</w:t>
            </w:r>
          </w:p>
        </w:tc>
        <w:tc>
          <w:tcPr>
            <w:tcW w:w="847" w:type="dxa"/>
            <w:noWrap w:val="0"/>
            <w:vAlign w:val="center"/>
          </w:tcPr>
          <w:p w14:paraId="256EF1C5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达标</w:t>
            </w:r>
          </w:p>
        </w:tc>
      </w:tr>
      <w:tr w14:paraId="3C89B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1F3150EE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40EB2EB8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26</w:t>
            </w:r>
          </w:p>
        </w:tc>
        <w:tc>
          <w:tcPr>
            <w:tcW w:w="1698" w:type="dxa"/>
            <w:noWrap w:val="0"/>
            <w:vAlign w:val="center"/>
          </w:tcPr>
          <w:p w14:paraId="2394B7C1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信息安全</w:t>
            </w:r>
          </w:p>
        </w:tc>
        <w:tc>
          <w:tcPr>
            <w:tcW w:w="2650" w:type="dxa"/>
            <w:noWrap w:val="0"/>
            <w:vAlign w:val="center"/>
          </w:tcPr>
          <w:p w14:paraId="07D32AB2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建立长效的社区信息安全保护机制，确保社区安全稳定</w:t>
            </w:r>
          </w:p>
        </w:tc>
        <w:tc>
          <w:tcPr>
            <w:tcW w:w="4138" w:type="dxa"/>
            <w:noWrap w:val="0"/>
            <w:vAlign w:val="center"/>
          </w:tcPr>
          <w:p w14:paraId="691FFED7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1.智慧社区综合信息平台采用加密等安全措施保障社区居民个人信息 安全 ；</w:t>
            </w:r>
          </w:p>
          <w:p w14:paraId="54233493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2.智慧社区综合信息平台实现管理人员、操作人员、运维人员的分级授权管理，严格限定信息的访问、下载权限和使用范围，对人员操作过程进行记录并采取技术措施确保记录不可修改、删除</w:t>
            </w:r>
          </w:p>
        </w:tc>
        <w:tc>
          <w:tcPr>
            <w:tcW w:w="847" w:type="dxa"/>
            <w:noWrap w:val="0"/>
            <w:vAlign w:val="center"/>
          </w:tcPr>
          <w:p w14:paraId="2C09E6DE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达标</w:t>
            </w:r>
          </w:p>
        </w:tc>
      </w:tr>
      <w:tr w14:paraId="198F0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noWrap w:val="0"/>
            <w:vAlign w:val="center"/>
          </w:tcPr>
          <w:p w14:paraId="3FDAA366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  <w:t>创新</w:t>
            </w:r>
            <w:r>
              <w:rPr>
                <w:rFonts w:hint="eastAsia" w:ascii="仿宋_GB2312" w:hAnsi="仿宋_GB2312" w:eastAsia="仿宋_GB2312" w:cs="仿宋_GB2312"/>
                <w:spacing w:val="16"/>
                <w:sz w:val="28"/>
                <w:szCs w:val="28"/>
              </w:rPr>
              <w:t>应用</w:t>
            </w:r>
            <w:r>
              <w:rPr>
                <w:rFonts w:hint="eastAsia" w:ascii="仿宋_GB2312" w:hAnsi="仿宋_GB2312" w:eastAsia="仿宋_GB2312" w:cs="仿宋_GB2312"/>
                <w:spacing w:val="6"/>
                <w:sz w:val="28"/>
                <w:szCs w:val="28"/>
              </w:rPr>
              <w:t>和做</w:t>
            </w:r>
            <w:r>
              <w:rPr>
                <w:rFonts w:hint="eastAsia" w:ascii="仿宋_GB2312" w:hAnsi="仿宋_GB2312" w:eastAsia="仿宋_GB2312" w:cs="仿宋_GB2312"/>
                <w:spacing w:val="6"/>
                <w:sz w:val="28"/>
                <w:szCs w:val="28"/>
                <w:lang w:val="en-US" w:eastAsia="zh-CN"/>
              </w:rPr>
              <w:t>法</w:t>
            </w:r>
          </w:p>
        </w:tc>
        <w:tc>
          <w:tcPr>
            <w:tcW w:w="0" w:type="auto"/>
            <w:noWrap w:val="0"/>
            <w:vAlign w:val="center"/>
          </w:tcPr>
          <w:p w14:paraId="36C5D307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27</w:t>
            </w:r>
          </w:p>
        </w:tc>
        <w:tc>
          <w:tcPr>
            <w:tcW w:w="1698" w:type="dxa"/>
            <w:noWrap w:val="0"/>
            <w:vAlign w:val="center"/>
          </w:tcPr>
          <w:p w14:paraId="100BF9E1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</w:rPr>
              <w:t>创新应用场景</w:t>
            </w:r>
          </w:p>
        </w:tc>
        <w:tc>
          <w:tcPr>
            <w:tcW w:w="2650" w:type="dxa"/>
            <w:noWrap w:val="0"/>
            <w:vAlign w:val="center"/>
          </w:tcPr>
          <w:p w14:paraId="165A5204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结合社区实际情况，依托智慧社区综合信息平台，聚焦急需解决的痛点难点，在充分征求社区居民意见的基础上，打造居民满意度高、运营模式成熟的创新应用场景，切实提升社区居民的获得感、幸福感、</w:t>
            </w:r>
          </w:p>
          <w:p w14:paraId="199887F9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安全感</w:t>
            </w:r>
          </w:p>
          <w:p w14:paraId="79D4C8BE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注：</w:t>
            </w:r>
          </w:p>
          <w:p w14:paraId="2BD371FB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如针对老旧小区、集中安置小区等居民停车难问题，通过打造智慧停车应用场景，规范车辆停放秩序，实现泊位信息实时查询，提高泊位利用率</w:t>
            </w:r>
          </w:p>
          <w:p w14:paraId="6ECF48CE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  <w:p w14:paraId="5DF59C4A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4138" w:type="dxa"/>
            <w:noWrap w:val="0"/>
            <w:vAlign w:val="center"/>
          </w:tcPr>
          <w:p w14:paraId="20EBB095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形成不少于1项在市级层面推广的创新应用场景</w:t>
            </w:r>
          </w:p>
        </w:tc>
        <w:tc>
          <w:tcPr>
            <w:tcW w:w="847" w:type="dxa"/>
            <w:noWrap w:val="0"/>
            <w:vAlign w:val="center"/>
          </w:tcPr>
          <w:p w14:paraId="32F6A3AA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达标</w:t>
            </w:r>
          </w:p>
        </w:tc>
      </w:tr>
      <w:tr w14:paraId="6D64B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noWrap w:val="0"/>
            <w:vAlign w:val="center"/>
          </w:tcPr>
          <w:p w14:paraId="731E2817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7"/>
                <w:sz w:val="28"/>
                <w:szCs w:val="28"/>
              </w:rPr>
              <w:t>居民</w:t>
            </w:r>
            <w:r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</w:rPr>
              <w:t>体验</w:t>
            </w:r>
          </w:p>
        </w:tc>
        <w:tc>
          <w:tcPr>
            <w:tcW w:w="0" w:type="auto"/>
            <w:noWrap w:val="0"/>
            <w:vAlign w:val="center"/>
          </w:tcPr>
          <w:p w14:paraId="096C2186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28</w:t>
            </w:r>
          </w:p>
        </w:tc>
        <w:tc>
          <w:tcPr>
            <w:tcW w:w="1698" w:type="dxa"/>
            <w:noWrap w:val="0"/>
            <w:vAlign w:val="center"/>
          </w:tcPr>
          <w:p w14:paraId="71F9639D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</w:rPr>
              <w:t>居民体验调查</w:t>
            </w:r>
          </w:p>
        </w:tc>
        <w:tc>
          <w:tcPr>
            <w:tcW w:w="2650" w:type="dxa"/>
            <w:noWrap w:val="0"/>
            <w:vAlign w:val="center"/>
          </w:tcPr>
          <w:p w14:paraId="31C7B1E3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通过调查问卷等方式评价居民对智慧社区建设效果的切身感受</w:t>
            </w:r>
          </w:p>
        </w:tc>
        <w:tc>
          <w:tcPr>
            <w:tcW w:w="4138" w:type="dxa"/>
            <w:noWrap w:val="0"/>
            <w:vAlign w:val="center"/>
          </w:tcPr>
          <w:p w14:paraId="36AABAC6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8"/>
                <w:szCs w:val="28"/>
              </w:rPr>
              <w:t>居民满意度达到70%</w:t>
            </w:r>
          </w:p>
        </w:tc>
        <w:tc>
          <w:tcPr>
            <w:tcW w:w="847" w:type="dxa"/>
            <w:noWrap w:val="0"/>
            <w:vAlign w:val="center"/>
          </w:tcPr>
          <w:p w14:paraId="0E1301CC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达标</w:t>
            </w:r>
          </w:p>
        </w:tc>
      </w:tr>
    </w:tbl>
    <w:p w14:paraId="320B6D14">
      <w:pPr>
        <w:spacing w:line="420" w:lineRule="exact"/>
        <w:jc w:val="both"/>
        <w:rPr>
          <w:rFonts w:hint="eastAsia" w:ascii="Times New Roman" w:hAnsi="Times New Roman" w:eastAsia="仿宋_GB2312" w:cs="Times New Roman"/>
          <w:sz w:val="32"/>
          <w:szCs w:val="32"/>
        </w:rPr>
      </w:pPr>
    </w:p>
    <w:p w14:paraId="1ED6300A">
      <w:pPr>
        <w:spacing w:line="420" w:lineRule="exact"/>
        <w:ind w:firstLine="629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公示期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天（自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日始—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日止）。</w:t>
      </w:r>
    </w:p>
    <w:p w14:paraId="6DA42E65">
      <w:pPr>
        <w:spacing w:line="420" w:lineRule="exact"/>
        <w:ind w:firstLine="629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如有异议，请在公示期内向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济南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市大数据局反馈。</w:t>
      </w:r>
    </w:p>
    <w:p w14:paraId="2B2A5BBE">
      <w:pPr>
        <w:spacing w:line="420" w:lineRule="exact"/>
        <w:ind w:firstLine="629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联系单位：济南市大数据局</w:t>
      </w:r>
    </w:p>
    <w:p w14:paraId="0FD6375A">
      <w:pPr>
        <w:spacing w:line="420" w:lineRule="exact"/>
        <w:ind w:firstLine="629"/>
        <w:jc w:val="both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联系人：刘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震</w:t>
      </w:r>
    </w:p>
    <w:p w14:paraId="1E5AF863">
      <w:pPr>
        <w:ind w:firstLine="640" w:firstLineChars="200"/>
        <w:jc w:val="both"/>
        <w:rPr>
          <w:rFonts w:hint="default" w:eastAsia="仿宋_GB2312"/>
          <w:color w:val="auto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联系电话：0</w:t>
      </w:r>
      <w:r>
        <w:rPr>
          <w:rFonts w:ascii="Times New Roman" w:hAnsi="Times New Roman" w:eastAsia="仿宋_GB2312" w:cs="Times New Roman"/>
          <w:sz w:val="32"/>
          <w:szCs w:val="32"/>
        </w:rPr>
        <w:t>531-51707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668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3NzJlMzlhNTQzOGE0OWQ1ZGM1OWZkMDUzZWEzMzcifQ=="/>
  </w:docVars>
  <w:rsids>
    <w:rsidRoot w:val="00000000"/>
    <w:rsid w:val="01CD7566"/>
    <w:rsid w:val="032B7EA0"/>
    <w:rsid w:val="03EA2E11"/>
    <w:rsid w:val="04C3413D"/>
    <w:rsid w:val="09B21663"/>
    <w:rsid w:val="0D673088"/>
    <w:rsid w:val="0E461D5A"/>
    <w:rsid w:val="11A13106"/>
    <w:rsid w:val="15812C72"/>
    <w:rsid w:val="18FB2A4C"/>
    <w:rsid w:val="1BFB4FA4"/>
    <w:rsid w:val="1DA84438"/>
    <w:rsid w:val="22C713F6"/>
    <w:rsid w:val="29A8354E"/>
    <w:rsid w:val="2BC003BB"/>
    <w:rsid w:val="2C08790F"/>
    <w:rsid w:val="329E1A60"/>
    <w:rsid w:val="36A4171A"/>
    <w:rsid w:val="36A673E9"/>
    <w:rsid w:val="36BE7F5E"/>
    <w:rsid w:val="39470C70"/>
    <w:rsid w:val="396803B4"/>
    <w:rsid w:val="3C0128FD"/>
    <w:rsid w:val="3D752FA0"/>
    <w:rsid w:val="3D870D5D"/>
    <w:rsid w:val="46CE477E"/>
    <w:rsid w:val="4A1939A1"/>
    <w:rsid w:val="4C5D2332"/>
    <w:rsid w:val="50BB1F02"/>
    <w:rsid w:val="531F0A6D"/>
    <w:rsid w:val="5B0C37B7"/>
    <w:rsid w:val="61EB3FDF"/>
    <w:rsid w:val="6232236E"/>
    <w:rsid w:val="625E7607"/>
    <w:rsid w:val="68990F85"/>
    <w:rsid w:val="6E370106"/>
    <w:rsid w:val="703458E8"/>
    <w:rsid w:val="7056738D"/>
    <w:rsid w:val="762322A2"/>
    <w:rsid w:val="7F684194"/>
    <w:rsid w:val="7FF178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tabs>
        <w:tab w:val="left" w:pos="0"/>
        <w:tab w:val="left" w:pos="420"/>
      </w:tabs>
      <w:ind w:firstLine="1040" w:firstLineChars="200"/>
      <w:outlineLvl w:val="3"/>
    </w:pPr>
    <w:rPr>
      <w:rFonts w:ascii="Arial" w:hAnsi="Arial" w:eastAsia="仿宋"/>
      <w:b/>
      <w:sz w:val="32"/>
      <w:szCs w:val="21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1"/>
    <w:pPr>
      <w:ind w:left="248"/>
    </w:pPr>
    <w:rPr>
      <w:sz w:val="32"/>
      <w:szCs w:val="32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table" w:customStyle="1" w:styleId="11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3155</Words>
  <Characters>3273</Characters>
  <Lines>0</Lines>
  <Paragraphs>0</Paragraphs>
  <TotalTime>38</TotalTime>
  <ScaleCrop>false</ScaleCrop>
  <LinksUpToDate>false</LinksUpToDate>
  <CharactersWithSpaces>3284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2022-12-31T08:53:00Z</dcterms:created>
  <dc:creator>Administrator</dc:creator>
  <cp:lastModifiedBy>初心不变。</cp:lastModifiedBy>
  <cp:lastPrinted>2023-01-03T04:04:00Z</cp:lastPrinted>
  <dcterms:modified xsi:type="dcterms:W3CDTF">2024-11-07T00:38:21Z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4EA11A7A5E9F4F2EB326849BBE1877A4_13</vt:lpwstr>
  </property>
</Properties>
</file>