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6" w:lineRule="exact"/>
        <w:jc w:val="center"/>
        <w:rPr>
          <w:rFonts w:hint="eastAsia" w:ascii="宋体" w:hAnsi="宋体" w:eastAsia="方正小标宋简体" w:cs="方正小标宋简体"/>
          <w:b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方正小标宋简体"/>
          <w:b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  <w:t>关于济南市钢城区20</w:t>
      </w:r>
      <w:r>
        <w:rPr>
          <w:rFonts w:hint="eastAsia" w:ascii="宋体" w:hAnsi="宋体" w:eastAsia="方正小标宋简体" w:cs="方正小标宋简体"/>
          <w:b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方正小标宋简体" w:cs="方正小标宋简体"/>
          <w:b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  <w:t>年国民经济和社会发展计划执行情况与202</w:t>
      </w:r>
      <w:r>
        <w:rPr>
          <w:rFonts w:hint="eastAsia" w:ascii="宋体" w:hAnsi="宋体" w:eastAsia="方正小标宋简体" w:cs="方正小标宋简体"/>
          <w:b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方正小标宋简体" w:cs="方正小标宋简体"/>
          <w:b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  <w:t>年计划草案的报告</w:t>
      </w:r>
    </w:p>
    <w:p>
      <w:pPr>
        <w:spacing w:line="616" w:lineRule="exact"/>
        <w:ind w:firstLine="643" w:firstLineChars="200"/>
        <w:rPr>
          <w:rFonts w:hint="eastAsia" w:ascii="宋体" w:hAnsi="宋体" w:eastAsia="黑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黑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宋体" w:hAnsi="宋体" w:eastAsia="黑体" w:cs="黑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年国民经济和社会发展计划执行情况</w:t>
      </w:r>
    </w:p>
    <w:p>
      <w:pPr>
        <w:spacing w:line="616" w:lineRule="exact"/>
        <w:ind w:firstLine="643" w:firstLineChars="200"/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2020年，在区委、区政府的正确领导下，全区上下按照区委“1+565”工作思路，坚持抓重点、补短板、强弱项，全面统筹疫情防控和经济社会发展，经济社会发展保持了稳中有进的良好态势。</w:t>
      </w:r>
    </w:p>
    <w:p>
      <w:pPr>
        <w:spacing w:line="616" w:lineRule="exact"/>
        <w:ind w:firstLine="643" w:firstLineChars="200"/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楷体简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（一）疫情防控抓实抓细。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新冠肺</w:t>
      </w:r>
      <w:bookmarkStart w:id="0" w:name="_GoBack"/>
      <w:bookmarkEnd w:id="0"/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炎疫情以来，迅速建立有力有序的战时工作机制，实行分级防控，第一时间出台意见，助力企业复工复产。坚持“联防联控”，建立四级联防联控网格，坚持“群防群控”，全员发动、全民参与，坚持“严防严控”，严密人员排查，全区未发生本土和输入型确诊病例。</w:t>
      </w:r>
    </w:p>
    <w:p>
      <w:pPr>
        <w:spacing w:line="616" w:lineRule="exact"/>
        <w:ind w:firstLine="643" w:firstLineChars="200"/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楷体简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（二）经济运行稳中有进。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持续加大“六稳”“六保”工作力度，落实强企惠企政策，经济稳步回升。全区地区生产总值达到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.16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5.5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一般公共预算收入完成21.2亿元，增长2%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固定资产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投资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9.7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规模以上工业实现产值790亿元、增长6.7%，规模以上工业增加值增长9.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城乡居民人均可支配收入分别达到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44914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元、2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0507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分别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增长2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.5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4.1%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16" w:lineRule="exact"/>
        <w:ind w:firstLine="643" w:firstLineChars="200"/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楷体简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（三）发展动力不断增强。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产业能级不断提升。制定了《关于加快建设工业强区的实施意见》，着力打造“2+4”工业地标。其中，精品钢产业集群主营业务收入达到1200亿元；装配式建筑产业，钢结构加工能力达到200万吨，部件生产能力突破200万平方米。二是项目建设加快推进。39个市区重点项目完成投资105亿元。三是“双招双引”力度持续加大。积极开展“云招商”“云洽谈”活动，招引项目65个，引进市外投资56亿元。加大招才引智力度，建设提升人才公寓100套，争取省重点扶持区域引进急需紧缺人才项目1个、引进各类高层次人才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109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人。四是发展活力明显增强。新注册私营企业1360家、个体工商户3360户，新发展高新技术企业15家，规模以上工业企业2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家。五是企业创新力持续加强。新增省市级制造业单项冠军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各1家、市级智能制造标杆企业4家、“专精特新”中小企业4家，新增省级科研平台10家、授权发明专利85项。</w:t>
      </w:r>
    </w:p>
    <w:p>
      <w:pPr>
        <w:spacing w:line="616" w:lineRule="exact"/>
        <w:ind w:firstLine="643" w:firstLineChars="200"/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楷体简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（四）城乡建设全面提速。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城建重点工程加快推进。综合服务中心投入使用，科创中心完成基础施工，文体中心开工建设，会展中心完成设计，特色钢桥加快推进。陈家庄社区、洪沟社区安置房交付使用。二是交通基础设施加快建设。济莱高铁沿线桩桥、隧道全面施工，钢城站完成规划策划方案和场平工程。京沪高速、青兰高速钢城段竣工通车。新建公交站亭57个，改造提升永兴路、莱钢大道等道路35公里，城市交通更加通畅。三是城市综合治理成效显著。新建和改造提升城乡社区服务中心11处，拆除户外广告、破旧广告1100余处，拆违拆临完成60.8万平方米，打造垃圾分类示范点13个。打造公园游园13个。改造安装路灯1182杆，消除黑灯路段11条。四是城乡基础设施不断完善。建设5G基站123个，完成雨污分流70公里，铺设天然气管道14公里，新增供暖面积26万平方米，建成城市公厕6座。</w:t>
      </w:r>
    </w:p>
    <w:p>
      <w:pPr>
        <w:spacing w:line="616" w:lineRule="exact"/>
        <w:ind w:firstLine="643" w:firstLineChars="200"/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楷体简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（五）乡村振兴加快推进。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农业产业化进程不断加快。挂牌成立济南莱芜猪产业技术研究院、莱芜三黑畜禽产业技术研究院，辛庄省级现代农业产业园加快建设，实施龙韵田园等产业项目88个。认证“三品一标”农产品24个，发展高标准基本农田1万亩。二是农村基础设施不断完善。新建改造“四好农村路”137公里，农村通户道路工程实施174个村；城乡供水一体化顺利推进，建成金水河水厂，铺设供水管网224公里，新建和改造村内管网218处；改造农村危房100户。新建农村公厕66座、农村改厕2400户。49个村用上天然气，完成清洁供暖1.4万户。三是农村人居环境不断优化。农村生活垃圾处置体系实现全覆盖，完成92个农村生活污水处理；创建省级美丽乡村示范村3个、乡村振兴齐鲁样板村5个、省级卫生村32个；辛庄街道创建为全国森林康养基地，柳桥峪村被评为全国文明村。</w:t>
      </w:r>
    </w:p>
    <w:p>
      <w:pPr>
        <w:spacing w:line="616" w:lineRule="exact"/>
        <w:ind w:firstLine="643" w:firstLineChars="200"/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楷体简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（六）改革活力显著增强。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政务环境不断优化。区政务服务中心投入使用，三级便民服务网络实现全覆盖。“一次办成”改革深入推进，渉企审批事项100%容缺受理，84项审批事项实现一窗通办，审批服务事项网上可办率达100%。二是园区改革加快推进。推行“小管委会+大公司”改革模式，莱钢、山钢、钢城经济开发区共同组建园区发展投资运营公司。三是完成颜庄、辛庄撤镇设街道，实现全域街道化。事业单位改革稳步推进。与新泰、沂源签订战略合作协议，建立</w:t>
      </w:r>
      <w:r>
        <w:rPr>
          <w:rFonts w:hint="eastAsia" w:ascii="宋体" w:hAnsi="宋体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省会经济圈县域合作平台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，高质量一体化发展迈出新步伐。</w:t>
      </w:r>
    </w:p>
    <w:p>
      <w:pPr>
        <w:spacing w:line="616" w:lineRule="exact"/>
        <w:ind w:firstLine="643" w:firstLineChars="200"/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楷体简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（七）生态环境持续改善。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大气环境质量不断改善。建成50处空气自动检测微站，整治51家有机挥发物排放企业，绿化覆盖裸土155万平方米，环境空气质量综合指数同比改善25.5%，优良天数增加72天，位居全市环境空气质量综合排名第二单元第一位。二是重点流域水环境治理项目加快实施。完成辛庄盘龙河河道综合治理、下北港橡胶坝改建工程，第二污水处理厂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投入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运营。饮用水水源地和出境断面水质稳定达标。三是加大生态资源保护。完成山水林田湖草生态保护修复工程，修复治理废弃矿山1.3万亩，建成5处绿色矿山。完成新造林面积1.5万亩，新增湿地410亩。</w:t>
      </w:r>
    </w:p>
    <w:p>
      <w:pPr>
        <w:spacing w:line="616" w:lineRule="exact"/>
        <w:ind w:firstLine="643" w:firstLineChars="200"/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楷体简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（八）民生保障更加有力。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大社会保障力度，巩固提升建档立卡贫困户脱贫成果，新增城镇就业5100人，农村转移劳动力就业3600人，发放稳岗补贴1060万元，职工、居民医保实现应保尽保。卫生事业加快发展，启动区中医院建设，市第二妇幼保健院钢城分院挂牌成立，艾山街道社区卫生服务中心、颜庄中心卫生院通过社区医院市级验收。新发展幸福食堂149家，总数达到214家，惠及困难群众2100人；新建街道综合养老服务中心1处、社区日间照料中心3家、农村幸福院96家。建成2处公益性公墓。实施无障碍设施项目20个。新建幼儿园3处，适龄儿童入园率100%。深入开展“平安钢城”建设、扫黑除恶、安全生产专项整治三年行动，社会保持和谐稳定。“七五”普法任务全面完成。第七次人口普查取得阶段性成效。文旅、体育、双拥共建、退役军人保障、粮食、物价、消防、国防教育、妇女儿童、爱国卫生等各项工作都取得了较好成效。</w:t>
      </w:r>
    </w:p>
    <w:p>
      <w:pPr>
        <w:spacing w:line="616" w:lineRule="exact"/>
        <w:ind w:firstLine="643" w:firstLineChars="200"/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年来，全区经济社会发展取得较好成绩，干成了许多实事，解决了许多难事。在看到成绩的同时，我们也清醒的认识到，受多方面因素影响，我区经济社会发展中还存在一些矛盾和问题。主要是：经济下行压力较大，民间投资、消费增长动力不足，部分重点项目进展较慢，财力收支矛盾大，缺少具有支撑财源持续增长的大项目、强企业。产业结构单一，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传统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业新旧动能转换任务艰巨，新兴产业规模较小、培育困难，特色优势不大不强的问题没有根本改观。企业科技创新、人才、资金等发展要素制约明显。城市基础设施补短板任务重，民生社会事业刚性支出加大，社会治理还存在薄弱环节。对于这些问题，需要统筹谋划，精心部署、精准发力，采取有针对性措施加以研究解决。</w:t>
      </w:r>
    </w:p>
    <w:p>
      <w:pPr>
        <w:spacing w:line="616" w:lineRule="exact"/>
        <w:ind w:firstLine="643" w:firstLineChars="200"/>
        <w:rPr>
          <w:rFonts w:hint="eastAsia" w:ascii="宋体" w:hAnsi="宋体" w:eastAsia="黑体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/>
          <w:b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二、2</w:t>
      </w:r>
      <w:r>
        <w:rPr>
          <w:rFonts w:hint="eastAsia" w:ascii="宋体" w:hAnsi="宋体" w:eastAsia="黑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021</w:t>
      </w:r>
      <w:r>
        <w:rPr>
          <w:rFonts w:hint="eastAsia" w:ascii="宋体" w:hAnsi="宋体" w:eastAsia="黑体"/>
          <w:b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经济社会发展总体要求和主要预期目标</w:t>
      </w:r>
    </w:p>
    <w:p>
      <w:pPr>
        <w:spacing w:line="616" w:lineRule="exact"/>
        <w:ind w:firstLine="643" w:firstLineChars="200"/>
        <w:rPr>
          <w:rFonts w:hint="eastAsia" w:ascii="宋体" w:hAnsi="宋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2021年是“十四五”规划的开局之年,是中国共产党建党100周年，做好新一年的工作意义重大，影响深远。2021年工作的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总体要求是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坚持以习近平新时代中国特色社会主义思想为指导，深入贯彻党的十九大和十九届二中、三中、四中、五</w:t>
      </w:r>
      <w:r>
        <w:rPr>
          <w:rFonts w:hint="eastAsia" w:ascii="宋体" w:hAnsi="宋体" w:eastAsia="黑体" w:cs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宋体" w:hAnsi="宋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会精神，坚持稳中求进工作总基调，立足新发展阶段，坚持新发展理念，主动融入新发展格局，以推动高质量发展为主题，以深化供给侧结构性改革为主线，以科技创新为根本动力，以满足人民日益增长的美好生活需要为根本目的，统筹发展和安全，坚持系统观念，坚持工业强区战略，着力构建现代化经济体系，持续提升社会治理效能，加快建设富强和谐绿色新钢城，为基本建成现代化高品质美丽钢城、新时代现代化强省会的“南翼增长极”奠定坚实基础。</w:t>
      </w:r>
    </w:p>
    <w:p>
      <w:pPr>
        <w:spacing w:line="616" w:lineRule="exact"/>
        <w:ind w:firstLine="643" w:firstLineChars="200"/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经济社会发展的主要预期目标是：地区生产总值增长8.5%左右，一般公共预算收入增长8%左右，规模以上固定资产投资增长16%左右，规模以上工业增加值增长13%左右，社会消费品零售总额增长10%左右，城镇和农村居民人均可支配收入分别增长8%、9%左右。节能减排完成市政府下达任务。</w:t>
      </w:r>
    </w:p>
    <w:p>
      <w:pPr>
        <w:spacing w:line="616" w:lineRule="exact"/>
        <w:ind w:firstLine="643" w:firstLineChars="200"/>
        <w:rPr>
          <w:rFonts w:hint="eastAsia" w:ascii="宋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三、2021年经济社会发展主要措施</w:t>
      </w:r>
    </w:p>
    <w:p>
      <w:pPr>
        <w:spacing w:line="616" w:lineRule="exact"/>
        <w:ind w:firstLine="643" w:firstLineChars="200"/>
        <w:rPr>
          <w:rFonts w:hint="eastAsia" w:ascii="宋体" w:hAnsi="宋体" w:eastAsia="方正仿宋简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2021年，按照区委“1+565”工作思路，围绕《政府工作报告》部署要求，着力做好以下工作。</w:t>
      </w:r>
    </w:p>
    <w:p>
      <w:pPr>
        <w:pStyle w:val="5"/>
        <w:numPr>
          <w:ilvl w:val="0"/>
          <w:numId w:val="1"/>
        </w:numPr>
        <w:spacing w:line="616" w:lineRule="exact"/>
        <w:ind w:firstLine="643"/>
        <w:rPr>
          <w:rFonts w:hint="eastAsia" w:ascii="宋体" w:hAnsi="宋体" w:eastAsia="方正仿宋简体"/>
          <w:b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楷体简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坚持壮大集群、做强工业，推动产业向高质量发展。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工业强区战略，把工业作为产业能级提升的主攻方向，落实好加快建设工业强区的扶持政策，以智能化改造为发力点，大力实施“八大工程”，着力打造“智造济南”东部崛起新引擎。在产业推进上，以产业链链长制为抓手，以骨干企业为依托，以项目为载体，加快精品钢、装配式建筑两个千亿级产业和汽车零部件、智能制造、新材料、新能源与节能环保四个百亿级产业培育。精品钢产业，加快推进山钢新旧动能转换项目，竣工投产1号3800高炉，开工建设2号3800高炉、2座120吨转炉、1座100吨转炉，引入人工智能、机器人、大数据云平台等先进技术，提升优化生产工艺和技术装备，实现精品钢占比70%以上。装配式建筑产业，加快推进固旺绿色环保智能装配式建材等项目，落实好省市区装配式建筑产业发展政策，扶持莱钢建筑安装等建筑工程企业做大做强，加大济南市区及新泰、沂源等周边建筑市场开发，推动绿色装配式产业发展壮大。汽车零部件产业，加快推进汽车部件智能制造、汇锋高端汽车部件产业园、5万吨传统系统传动轴、方圆年产40万吨车桥用管等项目，加大与山东重工（济南莱芜）绿色智造产业城配套，努力实现汽车零部件链式协同发展。智能制造产业，加快推进金雷海上风电装备智能制造、京华异型管件、智能洗车机、盈和智能停车等项目，加大机器人及智能化设备等先进技术的应用，逐步提高产业技术装备水平。新材料产业，加快推进60万吨玻纤用高钙超细材料、鲁银新材料年产6000吨粉末冶金钢、恒阳正泰雪弗板新材料等项目，提高产品附加值和综合竞争力。新能源与节能环保产业，依托新能燃气加快实施我区首座示范加氢站项目，建成集加氢、加油、充电、储能、光伏发电“五位一体”的示范站。推进焦炉煤气氢气分离氢化、以氢固碳、</w:t>
      </w:r>
      <w:r>
        <w:rPr>
          <w:rFonts w:hint="eastAsia" w:ascii="宋体" w:hAnsi="宋体" w:eastAsia="方正仿宋简体"/>
          <w:b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氢能公交、卡车示范线等项目，努力打造氢能-冶金耦合应用示范基地。推进山钢高炉除尘、余热资源利用及之舜固废资源化利用等循环经济项目，提高固体废弃物综合利用能力，实现集约节约发展。</w:t>
      </w:r>
    </w:p>
    <w:p>
      <w:pPr>
        <w:pStyle w:val="5"/>
        <w:spacing w:line="616" w:lineRule="exact"/>
        <w:ind w:firstLine="643"/>
        <w:rPr>
          <w:rFonts w:hint="eastAsia" w:ascii="宋体" w:hAnsi="宋体" w:eastAsia="方正仿宋简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楷体简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（二）狠抓项目推进、双招双引，集聚发展动力。</w:t>
      </w:r>
      <w:r>
        <w:rPr>
          <w:rFonts w:hint="eastAsia" w:ascii="宋体" w:hAnsi="宋体" w:eastAsia="方正仿宋简体"/>
          <w:b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一是强化项目推进。强化“项目为王”工作定位，进一步加大项目服务力度，</w:t>
      </w:r>
      <w:r>
        <w:rPr>
          <w:rFonts w:hint="eastAsia" w:ascii="宋体" w:hAnsi="宋体" w:eastAsia="方正仿宋简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建立完善预备</w:t>
      </w:r>
      <w:r>
        <w:rPr>
          <w:rFonts w:hint="eastAsia" w:ascii="宋体" w:hAnsi="宋体" w:eastAsia="方正仿宋简体" w:cs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库</w:t>
      </w:r>
      <w:r>
        <w:rPr>
          <w:rFonts w:hint="eastAsia" w:ascii="宋体" w:hAnsi="宋体" w:eastAsia="方正仿宋简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、储备</w:t>
      </w:r>
      <w:r>
        <w:rPr>
          <w:rFonts w:hint="eastAsia" w:ascii="宋体" w:hAnsi="宋体" w:eastAsia="方正仿宋简体" w:cs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库</w:t>
      </w:r>
      <w:r>
        <w:rPr>
          <w:rFonts w:hint="eastAsia" w:ascii="宋体" w:hAnsi="宋体" w:eastAsia="方正仿宋简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、建设库三库联动措施，</w:t>
      </w:r>
      <w:r>
        <w:rPr>
          <w:rFonts w:hint="eastAsia" w:ascii="宋体" w:hAnsi="宋体" w:eastAsia="方正仿宋简体"/>
          <w:b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落实好“要素跟着项目走”保障机制，</w:t>
      </w:r>
      <w:r>
        <w:rPr>
          <w:rFonts w:hint="eastAsia" w:ascii="宋体" w:hAnsi="宋体" w:eastAsia="方正仿宋简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全力推动重点项目提速提效、达产达效。2021年计划安排市区重点推进项目60个，力争年内完成投资120亿元。</w:t>
      </w:r>
      <w:r>
        <w:rPr>
          <w:rFonts w:hint="eastAsia" w:ascii="宋体" w:hAnsi="宋体" w:eastAsia="方正仿宋简体"/>
          <w:b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二是强化经济开发区建设。</w:t>
      </w:r>
      <w:r>
        <w:rPr>
          <w:rFonts w:hint="eastAsia" w:ascii="宋体" w:hAnsi="宋体" w:eastAsia="方正仿宋简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加大投入，完善园区基础设施，围绕园区主导产业，全力推进先进材料、高端装备制造、装配式建筑、氢谷四个产业园建设，努力打造发展新引擎。</w:t>
      </w:r>
      <w:r>
        <w:rPr>
          <w:rFonts w:hint="eastAsia" w:ascii="宋体" w:hAnsi="宋体" w:eastAsia="方正仿宋简体"/>
          <w:b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三是强化专业园区建设。</w:t>
      </w:r>
      <w:r>
        <w:rPr>
          <w:rFonts w:hint="eastAsia" w:ascii="宋体" w:hAnsi="宋体" w:eastAsia="方正仿宋简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加快双创智慧产业园、高新区创业孵化园、无纺小镇创新创业园、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新材料产业孵化园</w:t>
      </w:r>
      <w:r>
        <w:rPr>
          <w:rFonts w:hint="eastAsia" w:ascii="宋体" w:hAnsi="宋体" w:eastAsia="方正仿宋简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等创业载体建设，为项目“拎包入住”，提供全方位服务。</w:t>
      </w:r>
      <w:r>
        <w:rPr>
          <w:rFonts w:hint="eastAsia" w:ascii="宋体" w:hAnsi="宋体" w:eastAsia="方正仿宋简体"/>
          <w:b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四是强化双招双引。</w:t>
      </w:r>
      <w:r>
        <w:rPr>
          <w:rFonts w:hint="eastAsia" w:ascii="宋体" w:hAnsi="宋体" w:eastAsia="方正仿宋简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主导产业，突出建链、补链、强链，进一步强化产业招商、专业招商、上门招商等措施。充分利用各类招商平台，加大项目策划、宣传、推介力度，着力引进一批科技含量高、示范带动力强、发展前景好的重大产业项目，力争年内引进市外投资增长20%，实际利用外资增长15%。突出高精尖缺和产业需求，落实好市区人才优惠扶持政策，做好引才育才计划，实施人才工程，搭建人才服务平台，大力引进各类高层次紧缺人才，不断优化提升人才生态圈。</w:t>
      </w:r>
      <w:r>
        <w:rPr>
          <w:rFonts w:hint="eastAsia" w:ascii="宋体" w:hAnsi="宋体" w:eastAsia="方正仿宋简体"/>
          <w:b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五是强化项目策划储备</w:t>
      </w:r>
      <w:r>
        <w:rPr>
          <w:rFonts w:hint="eastAsia" w:ascii="宋体" w:hAnsi="宋体" w:eastAsia="方正仿宋简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。立足产业基础优势和补齐发展短板，扎实做好项目策划，加大政府专项债券项目、无偿资金项目储备，力争更多项目挤进国家、省扶持盘子。</w:t>
      </w:r>
    </w:p>
    <w:p>
      <w:pPr>
        <w:spacing w:line="616" w:lineRule="exact"/>
        <w:ind w:firstLine="640"/>
        <w:rPr>
          <w:rFonts w:hint="eastAsia" w:ascii="宋体" w:hAnsi="宋体" w:eastAsia="方正仿宋简体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楷体简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（三）加快城市建设、乡村振兴，推动城乡融合发展。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强化规划引领。按照生产空间集约高效、生活空间宜居适度、生态空间山清水秀、安全和谐、富有竞争力和可持续发展的空间要求，高标准完成国土空间规划编制，将重大产业园区、重大基础设施、重大项目等统筹纳入国土空间规划。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加快颜庄片区、辛庄片区、经济开发区片区和中心城区片区等成片开发方案制定，推动实施整片开发。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扎实推进城市建设。全力服务好济莱高铁建设，加快济莱高铁钢城站及附属设施建设。加快文体中心建设，拓展公共活动空间；加快科创中心建设，培育大众创新创业基地。推进泉山小区、汶水一区等5个老旧小区改造，提升居民居住质量。加快构建城市交通网络，启动汶河东路等道路建设，改造提升苗里线，完成西外环、东外环、南外环等道路大修，打通城市断头路，不断优化提升城市路网通行质量。实施城市增绿工程，推进大汶河景观整治及湿地公园综合提升改造和青年公园、磨石山公园、小石林公园改造提升，推进友谊大街、泰达路等7条道路绿化改造提升。持续做好城市环境整治，全力推进垃圾分类，抓好城乡环卫</w:t>
      </w:r>
      <w:r>
        <w:rPr>
          <w:rFonts w:hint="eastAsia" w:ascii="宋体" w:hAnsi="宋体" w:eastAsia="方正仿宋简体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方正仿宋简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化、临街建筑物外立面整治、城市亮化提升改造等工作。加大智慧城市建设，融合5G、大数据、人工智能等先进技术，建设智慧社区、智慧街区。三是持续推进乡村振兴。推进农业供给侧结构改革，加快辛庄省级现代农业产业园建设，大力发展都市精致农业，加大“莱芜三黑”、汶源蜜桃、柳桥峪小米等原生态产品策划包装，推动农业特色产业振兴，形成钢城特色农产品品牌。加快乡村旅游发展，依托艾山龙韵、棋山艾乡等田园综合体，进一步优化乡村精品旅游线路，推动乡村旅游经济发展。加快农业创新发展，新增市级以上农业龙头企业2家，培育新型农业经营主体15个，新认证“三品一标”农产品10个，新增水肥一体化面积3000亩，流转土地1000亩。加快美丽乡村建设，实施乡村建设行动，加大基础设施投入，推进农村生活垃圾分类治理，完成40个村生活污水治理，打造省级美丽乡村3个、齐鲁样板示范村5个。深入开展“三资”清理工作，落实“理促调帮”综合措施，逐步消除经济薄弱村。</w:t>
      </w:r>
    </w:p>
    <w:p>
      <w:pPr>
        <w:pStyle w:val="5"/>
        <w:spacing w:line="616" w:lineRule="exact"/>
        <w:ind w:firstLine="643"/>
        <w:rPr>
          <w:rFonts w:hint="eastAsia" w:ascii="宋体" w:hAnsi="宋体" w:eastAsia="方正仿宋简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楷体简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（四）深化改革创新、区域联动，增强发展活力。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持续深化“一次办成”改革。全力推行“全城通办”、网上申报、并联审批等政务服务模式，进一步优化服务环境，提高审批效能。加强事中事后监管，实现“双随机、一公开”监管常态化。二是引导企业创新发展。深入落实国家减税降费政策，省市区扶持企业发展政策，特别是“工业33条”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，引导企业不断加大科技投入，</w:t>
      </w:r>
      <w:r>
        <w:rPr>
          <w:rStyle w:val="9"/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加强各类研发平台建设，增强竞争优势，力争建成市级以上创新平台5家，培育高新技术企业6家、科技型中小企业30家。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三是加大开放力度。</w:t>
      </w:r>
      <w:r>
        <w:rPr>
          <w:rStyle w:val="9"/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度融入国家黄河流域生态保护和高质量发展战略及省会经济圈、省市一体化发展战略，加大与济南中心城区的联系，强化与莱芜、新泰、沂源的协作，构建县域高质量发展合作平台，加快在基础设施互联互通、主导产业互促互补、民生设施共建共享、文化资源展示交流等方面实现突破，促进资源、信息、人才、技术等要素自由流动，实现区域经济高质量发展。</w:t>
      </w:r>
    </w:p>
    <w:p>
      <w:pPr>
        <w:pStyle w:val="5"/>
        <w:spacing w:line="616" w:lineRule="exact"/>
        <w:ind w:firstLine="643"/>
        <w:rPr>
          <w:rStyle w:val="9"/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楷体简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宋体" w:hAnsi="宋体" w:eastAsia="方正楷体简体" w:cs="楷体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强化</w:t>
      </w:r>
      <w:r>
        <w:rPr>
          <w:rFonts w:hint="eastAsia" w:ascii="宋体" w:hAnsi="宋体" w:eastAsia="方正楷体简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污染防治、生态保护，持续改善环境质量。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一是抓好污染防治。大力实施生态保护提升行动，持续打好蓝天保卫战、碧水保卫战、净土保卫战三大污染防治攻坚战。</w:t>
      </w:r>
      <w:r>
        <w:rPr>
          <w:rStyle w:val="9"/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大工业污染治理，加快推进钢铁企业超低排放改造、石灰窑特色产业集群综合整治。加大对企业持证排污情况的监管力度，全面完成工业污染源达标排放治理。加强施工工地、物料运输、道路、工业企业无组织排放、露天堆场等扬尘污染源控制。全面淘汰国三及以下营运柴油货车，强化城市餐饮油烟治理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二是加大水体修复治理。</w:t>
      </w:r>
      <w:r>
        <w:rPr>
          <w:rStyle w:val="9"/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饮用水源地保护，强化水源地周边清理整治，加快推进大汶河及支流水环境综合整治，对黄庄河、颜庄河等支流水体进行综合治理。抓好污水治理，推进实施城区污水综合治理、污水处理厂提质增效配套管网和农村生活污水治理等项目建设，巩固牟汶河流域治理成果，确保出境断面水质稳定达标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加强山体综合治理。持续开展矿山地质环境治理生态修复工程，完成新一轮矿产资源规划编制工作。加大荒山绿化，新增造林2100亩，完成森林抚育5000亩。强化矿产资源监管，严厉打击各类违法开采行为。加强土壤污染管控和修复，确保受污染耕地安全利用率达到91%左右，污染地块安全利用率达到90%以上。</w:t>
      </w:r>
    </w:p>
    <w:p>
      <w:pPr>
        <w:pStyle w:val="5"/>
        <w:spacing w:line="616" w:lineRule="exact"/>
        <w:ind w:firstLine="643"/>
      </w:pPr>
      <w:r>
        <w:rPr>
          <w:rFonts w:hint="eastAsia" w:ascii="宋体" w:hAnsi="宋体" w:eastAsia="方正楷体简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（六）突出改善民生、社会治理，切实增强人民群众获得感幸福感安全感。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一是强化疫情防控。坚持疫情防控常态化，抓实抓细各项防控措施，加强应急物资储备和保障，提升疫情监测预警和应急处置能力。二是加强社会保障。</w:t>
      </w:r>
      <w:r>
        <w:rPr>
          <w:rFonts w:hint="eastAsia" w:ascii="宋体" w:hAnsi="宋体" w:eastAsia="方正仿宋简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巩固拓展脱贫攻坚成果，确保高质量打赢脱贫攻坚战。加大就业保障，积极开展“春风行动”，新增城镇就业3500人，农村劳动力转移就业3200人。加大养老服务设施建设，启动区养老服务中心建设，加快推进农村幸福院全覆盖，建成农村幸福院3处</w:t>
      </w:r>
      <w:r>
        <w:rPr>
          <w:rFonts w:hint="eastAsia" w:ascii="宋体" w:hAnsi="宋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三是加快公共社会事业发展。推进山东冶金职业技术学院建设，补齐职业教育短板。编制全区教育发展专项规划，加大中小学教育投入，逐步改善办学条件。大力推进区中医医院和区疾控中心建设，不断提升区级医疗服务和卫生应急能力。加快中医药发展，全面推进各卫生院“国医堂”建设。加快建设“法治政府”“法治社会”，制定实施“八五”普法规划，保障《民法典》实施。持续深化安全生产专项整治三年行动，做好安全生产工作。扎实推进“食安钢城”建设，确保食品药品安全。深入开展“文明城市”、“诚信钢城”、“平安钢城”建设，提高社会治理水平。统筹抓好统战、双拥、民族宗教、妇女儿童、信访、消防、人防、国防教育等其他社会事业工作。</w:t>
      </w:r>
    </w:p>
    <w:sectPr>
      <w:footerReference r:id="rId3" w:type="default"/>
      <w:pgSz w:w="11906" w:h="16838"/>
      <w:pgMar w:top="1531" w:right="1531" w:bottom="1531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ascii="Times New Roman" w:hAnsi="Times New Roman" w:cs="Times New Roman"/>
        <w:sz w:val="24"/>
        <w:szCs w:val="24"/>
      </w:rPr>
    </w:pPr>
    <w:r>
      <w:rPr>
        <w:rStyle w:val="8"/>
        <w:rFonts w:ascii="Times New Roman" w:hAnsi="Times New Roman" w:cs="Times New Roman"/>
        <w:sz w:val="24"/>
        <w:szCs w:val="24"/>
      </w:rPr>
      <w:t>—</w:t>
    </w:r>
    <w:r>
      <w:rPr>
        <w:rStyle w:val="8"/>
        <w:rFonts w:ascii="Times New Roman" w:hAnsi="Times New Roman" w:cs="Times New Roman"/>
        <w:sz w:val="24"/>
        <w:szCs w:val="24"/>
      </w:rPr>
      <w:fldChar w:fldCharType="begin"/>
    </w:r>
    <w:r>
      <w:rPr>
        <w:rStyle w:val="8"/>
        <w:rFonts w:ascii="Times New Roman" w:hAnsi="Times New Roman" w:cs="Times New Roman"/>
        <w:sz w:val="24"/>
        <w:szCs w:val="24"/>
      </w:rPr>
      <w:instrText xml:space="preserve">PAGE  </w:instrText>
    </w:r>
    <w:r>
      <w:rPr>
        <w:rStyle w:val="8"/>
        <w:rFonts w:ascii="Times New Roman" w:hAnsi="Times New Roman" w:cs="Times New Roman"/>
        <w:sz w:val="24"/>
        <w:szCs w:val="24"/>
      </w:rPr>
      <w:fldChar w:fldCharType="separate"/>
    </w:r>
    <w:r>
      <w:rPr>
        <w:rStyle w:val="8"/>
        <w:rFonts w:ascii="Times New Roman" w:hAnsi="Times New Roman" w:cs="Times New Roman"/>
        <w:sz w:val="24"/>
        <w:szCs w:val="24"/>
      </w:rPr>
      <w:t>2</w:t>
    </w:r>
    <w:r>
      <w:rPr>
        <w:rStyle w:val="8"/>
        <w:rFonts w:ascii="Times New Roman" w:hAnsi="Times New Roman" w:cs="Times New Roman"/>
        <w:sz w:val="24"/>
        <w:szCs w:val="24"/>
      </w:rPr>
      <w:fldChar w:fldCharType="end"/>
    </w:r>
    <w:r>
      <w:rPr>
        <w:rStyle w:val="8"/>
        <w:rFonts w:ascii="Times New Roman" w:hAnsi="Times New Roman" w:cs="Times New Roman"/>
        <w:sz w:val="24"/>
        <w:szCs w:val="24"/>
      </w:rPr>
      <w:t>—</w:t>
    </w:r>
  </w:p>
  <w:p>
    <w:pPr>
      <w:pStyle w:val="4"/>
      <w:ind w:right="360" w:firstLine="360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9CD54C"/>
    <w:multiLevelType w:val="singleLevel"/>
    <w:tmpl w:val="9D9CD54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E4675"/>
    <w:rsid w:val="0D31531C"/>
    <w:rsid w:val="13BF7C03"/>
    <w:rsid w:val="2023757B"/>
    <w:rsid w:val="396F6C0C"/>
    <w:rsid w:val="3D1B5041"/>
    <w:rsid w:val="43BC0855"/>
    <w:rsid w:val="5DC71C47"/>
    <w:rsid w:val="60FC75A9"/>
    <w:rsid w:val="6A87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99"/>
    <w:pPr>
      <w:spacing w:before="120"/>
    </w:pPr>
    <w:rPr>
      <w:rFonts w:ascii="Cambria" w:hAnsi="Cambria" w:cs="Cambria"/>
      <w:sz w:val="24"/>
      <w:szCs w:val="24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99"/>
    <w:pPr>
      <w:spacing w:after="0" w:line="560" w:lineRule="exact"/>
      <w:ind w:left="0" w:leftChars="0" w:firstLine="420" w:firstLineChars="200"/>
    </w:pPr>
    <w:rPr>
      <w:rFonts w:ascii="仿宋_GB2312" w:cs="仿宋_GB2312"/>
    </w:rPr>
  </w:style>
  <w:style w:type="character" w:styleId="8">
    <w:name w:val="page number"/>
    <w:basedOn w:val="7"/>
    <w:qFormat/>
    <w:uiPriority w:val="99"/>
  </w:style>
  <w:style w:type="character" w:customStyle="1" w:styleId="9">
    <w:name w:val="NormalCharacter"/>
    <w:qFormat/>
    <w:uiPriority w:val="0"/>
    <w:rPr>
      <w:rFonts w:ascii="Calibri" w:hAnsi="Calibri" w:eastAsia="宋体" w:cs="Calibri"/>
      <w:kern w:val="2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lmg</cp:lastModifiedBy>
  <dcterms:modified xsi:type="dcterms:W3CDTF">2021-12-02T02:18:53Z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