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Autospacing="0" w:after="0" w:afterAutospacing="0" w:line="616" w:lineRule="exact"/>
        <w:jc w:val="center"/>
        <w:textAlignment w:val="baseline"/>
        <w:rPr>
          <w:rFonts w:hint="eastAsia" w:ascii="华文中宋" w:hAnsi="华文中宋" w:eastAsia="华文中宋" w:cs="华文中宋"/>
          <w:b w:val="0"/>
          <w:i w:val="0"/>
          <w:caps w:val="0"/>
          <w:color w:val="000000"/>
          <w:spacing w:val="0"/>
          <w:w w:val="100"/>
          <w:sz w:val="44"/>
          <w:szCs w:val="44"/>
        </w:rPr>
      </w:pPr>
      <w:r>
        <w:rPr>
          <w:rFonts w:hint="eastAsia" w:ascii="华文中宋" w:hAnsi="华文中宋" w:eastAsia="华文中宋" w:cs="华文中宋"/>
          <w:b w:val="0"/>
          <w:i w:val="0"/>
          <w:caps w:val="0"/>
          <w:color w:val="000000"/>
          <w:spacing w:val="0"/>
          <w:w w:val="100"/>
          <w:sz w:val="44"/>
          <w:szCs w:val="44"/>
        </w:rPr>
        <w:t>关于全区招商引资</w:t>
      </w:r>
      <w:r>
        <w:rPr>
          <w:rFonts w:hint="eastAsia" w:ascii="华文中宋" w:hAnsi="华文中宋" w:eastAsia="华文中宋" w:cs="华文中宋"/>
          <w:b w:val="0"/>
          <w:i w:val="0"/>
          <w:caps w:val="0"/>
          <w:color w:val="000000"/>
          <w:spacing w:val="0"/>
          <w:w w:val="100"/>
          <w:sz w:val="44"/>
          <w:szCs w:val="44"/>
          <w:lang w:val="en-US" w:eastAsia="zh-CN"/>
        </w:rPr>
        <w:t>工作</w:t>
      </w:r>
      <w:r>
        <w:rPr>
          <w:rFonts w:hint="eastAsia" w:ascii="华文中宋" w:hAnsi="华文中宋" w:eastAsia="华文中宋" w:cs="华文中宋"/>
          <w:b w:val="0"/>
          <w:i w:val="0"/>
          <w:caps w:val="0"/>
          <w:color w:val="000000"/>
          <w:spacing w:val="0"/>
          <w:w w:val="100"/>
          <w:sz w:val="44"/>
          <w:szCs w:val="44"/>
        </w:rPr>
        <w:t>情况的汇报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16" w:lineRule="exact"/>
        <w:jc w:val="center"/>
        <w:textAlignment w:val="baseline"/>
        <w:rPr>
          <w:rFonts w:ascii="仿宋_GB2312" w:eastAsia="仿宋_GB2312" w:cs="Times New Roman"/>
          <w:b w:val="0"/>
          <w:i w:val="0"/>
          <w:caps w:val="0"/>
          <w:color w:val="000000"/>
          <w:spacing w:val="0"/>
          <w:w w:val="100"/>
          <w:sz w:val="32"/>
          <w:szCs w:val="32"/>
        </w:rPr>
      </w:pPr>
      <w:r>
        <w:rPr>
          <w:rFonts w:hint="eastAsia" w:ascii="楷体_GB2312" w:eastAsia="楷体_GB2312" w:cs="楷体_GB2312"/>
          <w:b w:val="0"/>
          <w:i w:val="0"/>
          <w:caps w:val="0"/>
          <w:color w:val="000000"/>
          <w:spacing w:val="0"/>
          <w:w w:val="100"/>
          <w:sz w:val="32"/>
          <w:szCs w:val="32"/>
        </w:rPr>
        <w:t>区投资促进局</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16" w:lineRule="exact"/>
        <w:jc w:val="center"/>
        <w:textAlignment w:val="baseline"/>
        <w:rPr>
          <w:rFonts w:hint="eastAsia" w:ascii="仿宋_GB2312" w:eastAsia="仿宋_GB2312" w:cs="仿宋_GB2312"/>
          <w:b w:val="0"/>
          <w:i w:val="0"/>
          <w:caps w:val="0"/>
          <w:color w:val="000000"/>
          <w:spacing w:val="0"/>
          <w:w w:val="100"/>
          <w:sz w:val="32"/>
          <w:szCs w:val="32"/>
          <w:lang w:val="en-US" w:eastAsia="zh-CN"/>
        </w:rPr>
      </w:pPr>
      <w:r>
        <w:rPr>
          <w:rFonts w:hint="eastAsia" w:ascii="仿宋_GB2312" w:eastAsia="仿宋_GB2312" w:cs="仿宋_GB2312"/>
          <w:b w:val="0"/>
          <w:i w:val="0"/>
          <w:caps w:val="0"/>
          <w:color w:val="000000"/>
          <w:spacing w:val="0"/>
          <w:w w:val="100"/>
          <w:sz w:val="32"/>
          <w:szCs w:val="32"/>
          <w:lang w:val="en-US" w:eastAsia="zh-CN"/>
        </w:rPr>
        <w:t>（2021年11月）</w:t>
      </w:r>
    </w:p>
    <w:p>
      <w:pPr>
        <w:pStyle w:val="2"/>
        <w:keepNext w:val="0"/>
        <w:keepLines w:val="0"/>
        <w:pageBreakBefore w:val="0"/>
        <w:widowControl w:val="0"/>
        <w:kinsoku/>
        <w:wordWrap/>
        <w:overflowPunct/>
        <w:topLinePunct w:val="0"/>
        <w:autoSpaceDE/>
        <w:autoSpaceDN/>
        <w:bidi w:val="0"/>
        <w:adjustRightInd/>
        <w:spacing w:line="616" w:lineRule="exact"/>
        <w:jc w:val="center"/>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16"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2021年是“十四五”规划开局之年，在区委、区政府的坚强领导下，全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招商引资总体保持稳中有进良好态势</w:t>
      </w:r>
      <w:r>
        <w:rPr>
          <w:rFonts w:hint="eastAsia" w:ascii="仿宋_GB2312" w:hAnsi="仿宋_GB2312" w:eastAsia="仿宋_GB2312" w:cs="仿宋_GB2312"/>
          <w:sz w:val="32"/>
          <w:szCs w:val="32"/>
          <w:lang w:eastAsia="zh-CN"/>
        </w:rPr>
        <w:t>，截至目前，全区实际利用外资1740万美元，完成市分配任务的168.1%，其中制造业外资1200万美元，完成331%，日韩资暂时还没有进展；引进市外投资52.1亿元，完成78.94%；新签约项目25个，总投资额71.46亿元，开工建设18个，履约率72%。</w:t>
      </w:r>
      <w:r>
        <w:rPr>
          <w:rFonts w:hint="eastAsia" w:ascii="仿宋_GB2312" w:hAnsi="仿宋_GB2312" w:eastAsia="仿宋_GB2312" w:cs="仿宋_GB2312"/>
          <w:sz w:val="32"/>
          <w:szCs w:val="32"/>
          <w:lang w:val="en-US" w:eastAsia="zh-CN"/>
        </w:rPr>
        <w:t>2021年实际利用外资取得历史最好成绩，总量和制造业外资完成率均排名全市第一。主要采取了以下工作措施。</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16" w:lineRule="exact"/>
        <w:ind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lang w:val="en-US" w:eastAsia="zh-CN"/>
        </w:rPr>
        <w:t>一、明确目标责任</w:t>
      </w:r>
      <w:r>
        <w:rPr>
          <w:rFonts w:hint="eastAsia" w:ascii="黑体" w:hAnsi="黑体" w:eastAsia="黑体" w:cs="黑体"/>
          <w:b w:val="0"/>
          <w:i w:val="0"/>
          <w:caps w:val="0"/>
          <w:color w:val="000000"/>
          <w:spacing w:val="0"/>
          <w:w w:val="100"/>
          <w:sz w:val="32"/>
          <w:szCs w:val="32"/>
        </w:rPr>
        <w:t>，</w:t>
      </w:r>
      <w:r>
        <w:rPr>
          <w:rFonts w:hint="eastAsia" w:ascii="黑体" w:hAnsi="黑体" w:eastAsia="黑体" w:cs="黑体"/>
          <w:b w:val="0"/>
          <w:i w:val="0"/>
          <w:caps w:val="0"/>
          <w:color w:val="000000"/>
          <w:spacing w:val="0"/>
          <w:w w:val="100"/>
          <w:sz w:val="32"/>
          <w:szCs w:val="32"/>
          <w:lang w:val="en-US" w:eastAsia="zh-CN"/>
        </w:rPr>
        <w:t>完善工作机制</w:t>
      </w:r>
      <w:r>
        <w:rPr>
          <w:rFonts w:hint="eastAsia" w:ascii="黑体" w:hAnsi="黑体" w:eastAsia="黑体" w:cs="黑体"/>
          <w:b w:val="0"/>
          <w:i w:val="0"/>
          <w:caps w:val="0"/>
          <w:color w:val="000000"/>
          <w:spacing w:val="0"/>
          <w:w w:val="100"/>
          <w:sz w:val="32"/>
          <w:szCs w:val="32"/>
        </w:rPr>
        <w:t>。</w:t>
      </w:r>
      <w:r>
        <w:rPr>
          <w:rFonts w:hint="eastAsia" w:ascii="方正楷体_GB2312" w:hAnsi="方正楷体_GB2312" w:eastAsia="方正楷体_GB2312" w:cs="方正楷体_GB2312"/>
          <w:b w:val="0"/>
          <w:bCs w:val="0"/>
          <w:i w:val="0"/>
          <w:caps w:val="0"/>
          <w:color w:val="000000"/>
          <w:spacing w:val="0"/>
          <w:w w:val="100"/>
          <w:sz w:val="32"/>
          <w:szCs w:val="32"/>
          <w:lang w:val="en-US" w:eastAsia="zh-CN"/>
        </w:rPr>
        <w:t>一是明确工作任务，压实工作责任。</w:t>
      </w:r>
      <w:r>
        <w:rPr>
          <w:rFonts w:ascii="仿宋_GB2312" w:hAnsi="仿宋" w:eastAsia="仿宋_GB2312" w:cs="仿宋"/>
          <w:b w:val="0"/>
          <w:i w:val="0"/>
          <w:caps w:val="0"/>
          <w:color w:val="000000"/>
          <w:spacing w:val="0"/>
          <w:w w:val="100"/>
          <w:sz w:val="32"/>
          <w:szCs w:val="32"/>
        </w:rPr>
        <w:t>制定了《2021年钢城区新动能培育工作目标》和《2021年钢城区新动能培育工作考核暂行办法》，</w:t>
      </w:r>
      <w:r>
        <w:rPr>
          <w:rFonts w:hint="eastAsia" w:ascii="仿宋_GB2312" w:hAnsi="仿宋" w:eastAsia="仿宋_GB2312" w:cs="仿宋"/>
          <w:b w:val="0"/>
          <w:i w:val="0"/>
          <w:caps w:val="0"/>
          <w:color w:val="000000"/>
          <w:spacing w:val="0"/>
          <w:w w:val="100"/>
          <w:sz w:val="32"/>
          <w:szCs w:val="32"/>
        </w:rPr>
        <w:t>明确</w:t>
      </w:r>
      <w:r>
        <w:rPr>
          <w:rFonts w:ascii="仿宋_GB2312" w:hAnsi="仿宋" w:eastAsia="仿宋_GB2312" w:cs="仿宋"/>
          <w:b w:val="0"/>
          <w:i w:val="0"/>
          <w:caps w:val="0"/>
          <w:color w:val="000000"/>
          <w:spacing w:val="0"/>
          <w:w w:val="100"/>
          <w:sz w:val="32"/>
          <w:szCs w:val="32"/>
        </w:rPr>
        <w:t>全区实际使用外资1100万美元，引进市外投资</w:t>
      </w:r>
      <w:r>
        <w:rPr>
          <w:rFonts w:hint="eastAsia" w:ascii="仿宋_GB2312" w:hAnsi="仿宋" w:eastAsia="仿宋_GB2312" w:cs="仿宋"/>
          <w:b w:val="0"/>
          <w:i w:val="0"/>
          <w:caps w:val="0"/>
          <w:color w:val="000000"/>
          <w:spacing w:val="0"/>
          <w:w w:val="100"/>
          <w:sz w:val="32"/>
          <w:szCs w:val="32"/>
        </w:rPr>
        <w:t>66</w:t>
      </w:r>
      <w:r>
        <w:rPr>
          <w:rFonts w:ascii="仿宋_GB2312" w:hAnsi="仿宋" w:eastAsia="仿宋_GB2312" w:cs="仿宋"/>
          <w:b w:val="0"/>
          <w:i w:val="0"/>
          <w:caps w:val="0"/>
          <w:color w:val="000000"/>
          <w:spacing w:val="0"/>
          <w:w w:val="100"/>
          <w:sz w:val="32"/>
          <w:szCs w:val="32"/>
        </w:rPr>
        <w:t>亿元</w:t>
      </w:r>
      <w:r>
        <w:rPr>
          <w:rFonts w:hint="eastAsia" w:ascii="仿宋_GB2312" w:hAnsi="仿宋" w:eastAsia="仿宋_GB2312" w:cs="仿宋"/>
          <w:b w:val="0"/>
          <w:i w:val="0"/>
          <w:caps w:val="0"/>
          <w:color w:val="000000"/>
          <w:spacing w:val="0"/>
          <w:w w:val="100"/>
          <w:sz w:val="32"/>
          <w:szCs w:val="32"/>
          <w:lang w:eastAsia="zh-CN"/>
        </w:rPr>
        <w:t>。</w:t>
      </w:r>
      <w:r>
        <w:rPr>
          <w:rFonts w:hint="eastAsia" w:ascii="Times New Roman" w:hAnsi="Times New Roman" w:eastAsia="仿宋_GB2312" w:cs="Times New Roman"/>
          <w:b w:val="0"/>
          <w:i w:val="0"/>
          <w:caps w:val="0"/>
          <w:spacing w:val="0"/>
          <w:w w:val="100"/>
          <w:sz w:val="32"/>
          <w:szCs w:val="32"/>
          <w:lang w:val="en-US" w:eastAsia="zh-CN"/>
        </w:rPr>
        <w:t>推行招商引资项目化、项目推进目标化、责任落实具体化、具体事项个人化，逐级传导压力，</w:t>
      </w:r>
      <w:r>
        <w:rPr>
          <w:rFonts w:hint="eastAsia" w:ascii="仿宋_GB2312" w:hAnsi="仿宋" w:eastAsia="仿宋_GB2312" w:cs="仿宋"/>
          <w:b w:val="0"/>
          <w:i w:val="0"/>
          <w:caps w:val="0"/>
          <w:color w:val="000000"/>
          <w:spacing w:val="0"/>
          <w:w w:val="100"/>
          <w:sz w:val="32"/>
          <w:szCs w:val="32"/>
          <w:lang w:val="en-US" w:eastAsia="zh-CN"/>
        </w:rPr>
        <w:t>确保全面</w:t>
      </w:r>
      <w:r>
        <w:rPr>
          <w:rFonts w:ascii="仿宋_GB2312" w:hAnsi="仿宋" w:eastAsia="仿宋_GB2312" w:cs="仿宋"/>
          <w:b w:val="0"/>
          <w:i w:val="0"/>
          <w:caps w:val="0"/>
          <w:color w:val="000000"/>
          <w:spacing w:val="0"/>
          <w:w w:val="100"/>
          <w:sz w:val="32"/>
          <w:szCs w:val="32"/>
        </w:rPr>
        <w:t>完成</w:t>
      </w:r>
      <w:r>
        <w:rPr>
          <w:rFonts w:hint="eastAsia" w:ascii="仿宋_GB2312" w:hAnsi="仿宋" w:eastAsia="仿宋_GB2312" w:cs="仿宋"/>
          <w:b w:val="0"/>
          <w:i w:val="0"/>
          <w:caps w:val="0"/>
          <w:color w:val="000000"/>
          <w:spacing w:val="0"/>
          <w:w w:val="100"/>
          <w:sz w:val="32"/>
          <w:szCs w:val="32"/>
        </w:rPr>
        <w:t>今</w:t>
      </w:r>
      <w:r>
        <w:rPr>
          <w:rFonts w:ascii="仿宋_GB2312" w:hAnsi="仿宋" w:eastAsia="仿宋_GB2312" w:cs="仿宋"/>
          <w:b w:val="0"/>
          <w:i w:val="0"/>
          <w:caps w:val="0"/>
          <w:color w:val="000000"/>
          <w:spacing w:val="0"/>
          <w:w w:val="100"/>
          <w:sz w:val="32"/>
          <w:szCs w:val="32"/>
        </w:rPr>
        <w:t>年目标任务。</w:t>
      </w:r>
      <w:r>
        <w:rPr>
          <w:rFonts w:hint="eastAsia" w:ascii="方正楷体_GB2312" w:hAnsi="方正楷体_GB2312" w:eastAsia="方正楷体_GB2312" w:cs="方正楷体_GB2312"/>
          <w:b w:val="0"/>
          <w:bCs w:val="0"/>
          <w:i w:val="0"/>
          <w:caps w:val="0"/>
          <w:color w:val="000000"/>
          <w:spacing w:val="0"/>
          <w:w w:val="100"/>
          <w:sz w:val="32"/>
          <w:szCs w:val="32"/>
          <w:lang w:val="en-US" w:eastAsia="zh-CN"/>
        </w:rPr>
        <w:t>二是完善工作制度，提高工作效率。</w:t>
      </w:r>
      <w:r>
        <w:rPr>
          <w:rFonts w:hint="eastAsia" w:ascii="仿宋_GB2312" w:hAnsi="仿宋" w:eastAsia="仿宋_GB2312" w:cs="仿宋"/>
          <w:b w:val="0"/>
          <w:i w:val="0"/>
          <w:caps w:val="0"/>
          <w:color w:val="000000"/>
          <w:spacing w:val="0"/>
          <w:w w:val="100"/>
          <w:sz w:val="32"/>
          <w:szCs w:val="32"/>
          <w:lang w:val="en-US" w:eastAsia="zh-CN"/>
        </w:rPr>
        <w:t>与区委组织部联合</w:t>
      </w:r>
      <w:r>
        <w:rPr>
          <w:rFonts w:hint="eastAsia" w:ascii="仿宋_GB2312" w:hAnsi="仿宋" w:eastAsia="仿宋_GB2312" w:cs="仿宋"/>
          <w:b w:val="0"/>
          <w:i w:val="0"/>
          <w:caps w:val="0"/>
          <w:color w:val="000000"/>
          <w:spacing w:val="0"/>
          <w:w w:val="100"/>
          <w:sz w:val="32"/>
          <w:szCs w:val="32"/>
        </w:rPr>
        <w:t>制定了《关于建立全区双招双引工作联席会议制度的方案》、《关于规范双招双引工作流程的意见》，对项目落地过程中疑难问题</w:t>
      </w:r>
      <w:r>
        <w:rPr>
          <w:rFonts w:hint="eastAsia" w:ascii="仿宋_GB2312" w:hAnsi="仿宋" w:eastAsia="仿宋_GB2312" w:cs="仿宋"/>
          <w:b w:val="0"/>
          <w:i w:val="0"/>
          <w:caps w:val="0"/>
          <w:color w:val="000000"/>
          <w:spacing w:val="0"/>
          <w:w w:val="100"/>
          <w:sz w:val="32"/>
          <w:szCs w:val="32"/>
          <w:lang w:val="en-US" w:eastAsia="zh-CN"/>
        </w:rPr>
        <w:t>及时</w:t>
      </w:r>
      <w:r>
        <w:rPr>
          <w:rFonts w:hint="eastAsia" w:ascii="仿宋_GB2312" w:hAnsi="仿宋" w:eastAsia="仿宋_GB2312" w:cs="仿宋"/>
          <w:b w:val="0"/>
          <w:i w:val="0"/>
          <w:caps w:val="0"/>
          <w:color w:val="000000"/>
          <w:spacing w:val="0"/>
          <w:w w:val="100"/>
          <w:sz w:val="32"/>
          <w:szCs w:val="32"/>
        </w:rPr>
        <w:t>化解处理，对确定推进的项目做到专人专管，推动项目快速落地。</w:t>
      </w:r>
      <w:r>
        <w:rPr>
          <w:rFonts w:hint="eastAsia" w:ascii="方正楷体_GB2312" w:hAnsi="方正楷体_GB2312" w:eastAsia="方正楷体_GB2312" w:cs="方正楷体_GB2312"/>
          <w:b w:val="0"/>
          <w:bCs w:val="0"/>
          <w:i w:val="0"/>
          <w:caps w:val="0"/>
          <w:color w:val="000000"/>
          <w:spacing w:val="0"/>
          <w:w w:val="100"/>
          <w:sz w:val="32"/>
          <w:szCs w:val="32"/>
          <w:lang w:val="en-US" w:eastAsia="zh-CN"/>
        </w:rPr>
        <w:t>三是创新工作方法，加强考核工作。</w:t>
      </w:r>
      <w:r>
        <w:rPr>
          <w:rFonts w:hint="eastAsia" w:ascii="仿宋_GB2312" w:hAnsi="仿宋_GB2312" w:eastAsia="仿宋_GB2312" w:cs="仿宋_GB2312"/>
          <w:b w:val="0"/>
          <w:i w:val="0"/>
          <w:caps w:val="0"/>
          <w:color w:val="000000"/>
          <w:spacing w:val="0"/>
          <w:w w:val="100"/>
          <w:sz w:val="32"/>
          <w:szCs w:val="32"/>
          <w:lang w:val="en-US" w:eastAsia="zh-CN"/>
        </w:rPr>
        <w:t>有针对性地加大调度频次和督查力度,确保目标进度和项目质量。在目标任务调度统计方面，采取一周一调度，半月通报制度；在督查考核方面采取季度目标考核和赋分制度，严格按照时间节点,高质量完成目标任务。</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16" w:lineRule="exact"/>
        <w:ind w:firstLine="640" w:firstLineChars="200"/>
        <w:jc w:val="both"/>
        <w:textAlignment w:val="baseline"/>
        <w:rPr>
          <w:rFonts w:hint="default" w:ascii="仿宋_GB2312" w:hAnsi="仿宋_GB2312" w:eastAsia="仿宋_GB2312" w:cs="仿宋_GB2312"/>
          <w:b w:val="0"/>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lang w:val="en-US" w:eastAsia="zh-CN"/>
        </w:rPr>
        <w:t>二、强化跟踪服务，推动二次招商。</w:t>
      </w:r>
      <w:r>
        <w:rPr>
          <w:rFonts w:hint="eastAsia" w:ascii="仿宋_GB2312" w:hAnsi="仿宋_GB2312" w:eastAsia="仿宋_GB2312" w:cs="仿宋_GB2312"/>
          <w:b w:val="0"/>
          <w:i w:val="0"/>
          <w:caps w:val="0"/>
          <w:color w:val="000000"/>
          <w:spacing w:val="0"/>
          <w:w w:val="100"/>
          <w:sz w:val="32"/>
          <w:szCs w:val="32"/>
          <w:lang w:val="en-US" w:eastAsia="zh-CN"/>
        </w:rPr>
        <w:t>今年以来，我们把对重点企业的走访服务作为一项重要措施，积极引导现有企业扩产扩能，重点是</w:t>
      </w:r>
      <w:r>
        <w:rPr>
          <w:rFonts w:hint="eastAsia" w:ascii="仿宋_GB2312" w:hAnsi="仿宋_GB2312" w:eastAsia="仿宋_GB2312" w:cs="仿宋_GB2312"/>
          <w:b w:val="0"/>
          <w:i w:val="0"/>
          <w:caps w:val="0"/>
          <w:color w:val="000000"/>
          <w:spacing w:val="0"/>
          <w:w w:val="100"/>
          <w:sz w:val="32"/>
          <w:szCs w:val="32"/>
        </w:rPr>
        <w:t>金雷风电、鲁银新材料、方圆制管、金山矿业等骨干企业的扩能，</w:t>
      </w:r>
      <w:r>
        <w:rPr>
          <w:rFonts w:hint="eastAsia" w:ascii="仿宋_GB2312" w:hAnsi="仿宋_GB2312" w:eastAsia="仿宋_GB2312" w:cs="仿宋_GB2312"/>
          <w:b w:val="0"/>
          <w:i w:val="0"/>
          <w:caps w:val="0"/>
          <w:color w:val="000000"/>
          <w:spacing w:val="0"/>
          <w:w w:val="100"/>
          <w:sz w:val="32"/>
          <w:szCs w:val="32"/>
          <w:lang w:val="en-US" w:eastAsia="zh-CN"/>
        </w:rPr>
        <w:t>实现“二次招商”。其中，我们多次召集有关部门和单位认真分析金雷风电海上风电智能装备项目情况，研究制定优惠政策，加强调度，跟踪推进，实现了四证齐发，保证了项目建设进度。同时，局内成立三支招商服务队，各由一名副局长牵头，分别联系对接2-3个街道、功能区，参与重点项目的洽谈和跟踪服务，加大对汇锋传动、金山矿业、方圆制管等企业</w:t>
      </w:r>
      <w:r>
        <w:rPr>
          <w:rFonts w:hint="eastAsia" w:ascii="仿宋_GB2312" w:hAnsi="仿宋_GB2312" w:eastAsia="仿宋_GB2312" w:cs="仿宋_GB2312"/>
          <w:b w:val="0"/>
          <w:i w:val="0"/>
          <w:caps w:val="0"/>
          <w:color w:val="000000"/>
          <w:spacing w:val="0"/>
          <w:w w:val="100"/>
          <w:sz w:val="32"/>
          <w:szCs w:val="32"/>
        </w:rPr>
        <w:t>新上项目的协调力度，明确时间节点，倒排工期，强力推进</w:t>
      </w:r>
      <w:r>
        <w:rPr>
          <w:rFonts w:hint="eastAsia" w:ascii="仿宋_GB2312" w:hAnsi="仿宋_GB2312" w:eastAsia="仿宋_GB2312" w:cs="仿宋_GB2312"/>
          <w:b w:val="0"/>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lang w:val="en-US" w:eastAsia="zh-CN"/>
        </w:rPr>
        <w:t>确保项目有了实质性的进展。</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16" w:lineRule="exact"/>
        <w:ind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lang w:val="en-US" w:eastAsia="zh-CN"/>
        </w:rPr>
        <w:t>三、强化建链补链，推动产业招商。</w:t>
      </w:r>
      <w:r>
        <w:rPr>
          <w:rFonts w:hint="eastAsia" w:ascii="仿宋_GB2312" w:hAnsi="仿宋_GB2312" w:eastAsia="仿宋_GB2312" w:cs="仿宋_GB2312"/>
          <w:b w:val="0"/>
          <w:i w:val="0"/>
          <w:caps w:val="0"/>
          <w:color w:val="000000"/>
          <w:spacing w:val="0"/>
          <w:w w:val="100"/>
          <w:sz w:val="32"/>
          <w:szCs w:val="32"/>
          <w:lang w:val="en-US" w:eastAsia="zh-CN"/>
        </w:rPr>
        <w:t>今年以来，我们紧紧围绕构建以建链补链为核心的现代化产业体系，深入推进精准招商，编制完善《全区重点产业招商行动方案》，</w:t>
      </w:r>
      <w:r>
        <w:rPr>
          <w:rFonts w:hint="eastAsia" w:ascii="仿宋_GB2312" w:hAnsi="仿宋_GB2312" w:eastAsia="仿宋_GB2312" w:cs="仿宋_GB2312"/>
          <w:b w:val="0"/>
          <w:i w:val="0"/>
          <w:caps w:val="0"/>
          <w:color w:val="000000"/>
          <w:spacing w:val="0"/>
          <w:w w:val="100"/>
          <w:sz w:val="32"/>
          <w:szCs w:val="32"/>
        </w:rPr>
        <w:t>明确精品钢、装配式建筑、粉末冶金、汽车零部件、食品加工、生态农业等八个重点产业，</w:t>
      </w:r>
      <w:r>
        <w:rPr>
          <w:rFonts w:hint="eastAsia" w:ascii="仿宋_GB2312" w:hAnsi="仿宋_GB2312" w:eastAsia="仿宋_GB2312" w:cs="仿宋_GB2312"/>
          <w:b w:val="0"/>
          <w:i w:val="0"/>
          <w:caps w:val="0"/>
          <w:color w:val="000000"/>
          <w:spacing w:val="0"/>
          <w:w w:val="100"/>
          <w:sz w:val="32"/>
          <w:szCs w:val="32"/>
          <w:lang w:val="en-US" w:eastAsia="zh-CN"/>
        </w:rPr>
        <w:t>引导各级各部门聚焦主导产业、关键区域和重点企业开展延链补链式招商。先后接待项目考察团90余次，外出考察对接50次，引进了计划投资7亿元的锦龙山文化生态区项目、计划投资7.8亿元山东高速莱钢绿建项目、计划投资16.5亿元的文体中心项目、计划投资17亿的未来农业项目等产业项目。在外资方面，高区长多次召开会议进行专题研究，明确外资引进路径，及时解决项目到资中存在问题，在外资引进上实现了大的突破。新引进四个实体项目（其中三个项目为制造业项目），目前已实现到账1320万美元。其中，济南环投到资120万美元、海乾车桥到资100万美元、磁性新材料到资1000万美元，智能洗车机到资100万美元。另外，我们还重点推进了山东济南京华金属材料、海乾车桥、山东高速莱钢绿建、中物力拓等产业链项目，有效延伸了产业链条。</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16" w:lineRule="exact"/>
        <w:ind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lang w:val="en-US" w:eastAsia="zh-CN"/>
        </w:rPr>
        <w:t>四、强化工作措施，推动短板招商。</w:t>
      </w:r>
      <w:r>
        <w:rPr>
          <w:rFonts w:hint="eastAsia" w:ascii="仿宋_GB2312" w:hAnsi="仿宋_GB2312" w:eastAsia="仿宋_GB2312" w:cs="仿宋_GB2312"/>
          <w:b w:val="0"/>
          <w:i w:val="0"/>
          <w:caps w:val="0"/>
          <w:color w:val="000000"/>
          <w:spacing w:val="0"/>
          <w:w w:val="100"/>
          <w:sz w:val="32"/>
          <w:szCs w:val="32"/>
          <w:lang w:val="en-US" w:eastAsia="zh-CN"/>
        </w:rPr>
        <w:t>紧盯现代物流、服务业等制约我区发展的短板产业，开展补充式、精准化招商，引进产业链关键配套企业，促进本地企业间相互配套。洽谈推进了佳怡物流、电子材料研究院、电子信息产业基金、红星美凯龙、禽畜食品加工等项目，其中，佳怡物流正积极搭建“一个联盟、两个平台、三套体系”，打造多方共赢的钢城供应链生态圈。基金招商，成为我区招商引资工作新突破。10月20日，我们与山东产研院联合成立电子材料研究院，下一步继续加强与省产研院的合作，特别围绕新材料、现代农业等产业开展合作，争取尽快落地一批项目。同时，我们与山东产研院、山东汇智鑫、金鼎电子联合成立电子产业基金，利用基金开展招商活动也正成为我们新的突破。我们还和工信局、农业农村局、人社局等单位，积极推进中石油油库及加油站项目、山东未来畜禽种业国家现代农业产业园、职业学校等项目。</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16" w:lineRule="exact"/>
        <w:ind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lang w:val="en-US" w:eastAsia="zh-CN"/>
        </w:rPr>
        <w:t>五、强化技能培训，推动项目落地。</w:t>
      </w:r>
      <w:r>
        <w:rPr>
          <w:rFonts w:hint="eastAsia" w:ascii="仿宋_GB2312" w:hAnsi="仿宋_GB2312" w:eastAsia="仿宋_GB2312" w:cs="仿宋_GB2312"/>
          <w:b/>
          <w:bCs/>
          <w:i w:val="0"/>
          <w:caps w:val="0"/>
          <w:color w:val="000000"/>
          <w:spacing w:val="0"/>
          <w:w w:val="100"/>
          <w:sz w:val="32"/>
          <w:szCs w:val="32"/>
          <w:lang w:val="en-US" w:eastAsia="zh-CN"/>
        </w:rPr>
        <w:t>一</w:t>
      </w:r>
      <w:r>
        <w:rPr>
          <w:rFonts w:hint="eastAsia" w:ascii="仿宋_GB2312" w:hAnsi="仿宋_GB2312" w:eastAsia="仿宋_GB2312" w:cs="仿宋_GB2312"/>
          <w:b/>
          <w:bCs/>
          <w:i w:val="0"/>
          <w:caps w:val="0"/>
          <w:color w:val="000000"/>
          <w:spacing w:val="0"/>
          <w:w w:val="100"/>
          <w:sz w:val="32"/>
          <w:szCs w:val="32"/>
        </w:rPr>
        <w:t>是</w:t>
      </w:r>
      <w:r>
        <w:rPr>
          <w:rFonts w:hint="eastAsia" w:ascii="仿宋_GB2312" w:hAnsi="仿宋_GB2312" w:eastAsia="仿宋_GB2312" w:cs="仿宋_GB2312"/>
          <w:b w:val="0"/>
          <w:i w:val="0"/>
          <w:caps w:val="0"/>
          <w:color w:val="000000"/>
          <w:spacing w:val="0"/>
          <w:w w:val="100"/>
          <w:sz w:val="32"/>
          <w:szCs w:val="32"/>
        </w:rPr>
        <w:t>加强与市局的沟通联系，定期邀请专业人员到我区开展产业政策、谈判技巧、法律风险等方面培训，不断提高综合素质和业务能力。</w:t>
      </w:r>
      <w:r>
        <w:rPr>
          <w:rFonts w:hint="eastAsia" w:ascii="仿宋_GB2312" w:hAnsi="仿宋_GB2312" w:eastAsia="仿宋_GB2312" w:cs="仿宋_GB2312"/>
          <w:b w:val="0"/>
          <w:i w:val="0"/>
          <w:caps w:val="0"/>
          <w:color w:val="000000"/>
          <w:spacing w:val="0"/>
          <w:w w:val="100"/>
          <w:sz w:val="32"/>
          <w:szCs w:val="32"/>
          <w:lang w:val="en-US" w:eastAsia="zh-CN"/>
        </w:rPr>
        <w:t>目前，已就土地利用、商务谈判、招商政策、招商方法、日韩资项目引进等方面开展多次培训活动，全区一线招商人员均参加了培训活动。二是</w:t>
      </w:r>
      <w:r>
        <w:rPr>
          <w:rFonts w:hint="eastAsia" w:ascii="仿宋_GB2312" w:hAnsi="仿宋_GB2312" w:eastAsia="仿宋_GB2312" w:cs="仿宋_GB2312"/>
          <w:b w:val="0"/>
          <w:i w:val="0"/>
          <w:caps w:val="0"/>
          <w:color w:val="000000"/>
          <w:spacing w:val="0"/>
          <w:w w:val="100"/>
          <w:sz w:val="32"/>
          <w:szCs w:val="32"/>
          <w:lang w:val="en-US" w:eastAsia="zh-CN"/>
        </w:rPr>
        <w:t>不断盘活闲置资源，绘制闲置资源招商地图，将所有的闲置土地、厂房、商务楼宇等资源都放到地图中，精准对外推介招商。</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16" w:lineRule="exact"/>
        <w:ind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仿宋_GB2312" w:hAnsi="仿宋_GB2312" w:eastAsia="仿宋_GB2312" w:cs="仿宋_GB2312"/>
          <w:b w:val="0"/>
          <w:i w:val="0"/>
          <w:caps w:val="0"/>
          <w:color w:val="000000"/>
          <w:spacing w:val="0"/>
          <w:w w:val="100"/>
          <w:sz w:val="32"/>
          <w:szCs w:val="32"/>
          <w:lang w:val="en-US" w:eastAsia="zh-CN"/>
        </w:rPr>
        <w:t>虽然今年的招商引资工作虽然取得了一定成效，但是也还存在外资项目储备不足、大项目不多、引进项目办法不多等问题。2022年，我们将按照崇尚实干、狠抓落实、解放思想、开拓创新的指导思想，坚持“强龙头、聚集群、补链条”的招商引资指导方针，结合上级下达的招商引资目标任务，开创全区招商引资的新局面。全区计划实际利用外资2000万美元；引进市外投资76亿元，签约项目55个，履约率50%以上。重点做好以下工作：</w:t>
      </w:r>
    </w:p>
    <w:p>
      <w:pPr>
        <w:keepNext w:val="0"/>
        <w:keepLines w:val="0"/>
        <w:pageBreakBefore w:val="0"/>
        <w:widowControl w:val="0"/>
        <w:kinsoku/>
        <w:wordWrap/>
        <w:overflowPunct/>
        <w:topLinePunct w:val="0"/>
        <w:autoSpaceDE/>
        <w:autoSpaceDN/>
        <w:bidi w:val="0"/>
        <w:adjustRightInd/>
        <w:snapToGrid/>
        <w:spacing w:before="0" w:beforeAutospacing="0" w:after="3" w:afterAutospacing="0" w:line="616" w:lineRule="exact"/>
        <w:ind w:right="163" w:firstLine="640"/>
        <w:textAlignment w:val="baseline"/>
        <w:rPr>
          <w:rFonts w:hint="eastAsia" w:ascii="仿宋_GB2312" w:hAnsi="仿宋_GB2312" w:eastAsia="仿宋_GB2312" w:cs="仿宋_GB2312"/>
          <w:b w:val="0"/>
          <w:i w:val="0"/>
          <w:caps w:val="0"/>
          <w:color w:val="000000"/>
          <w:spacing w:val="0"/>
          <w:w w:val="100"/>
          <w:kern w:val="2"/>
          <w:sz w:val="32"/>
          <w:szCs w:val="32"/>
          <w:lang w:val="en-US" w:eastAsia="zh-CN" w:bidi="ar-SA"/>
        </w:rPr>
      </w:pPr>
      <w:r>
        <w:rPr>
          <w:rFonts w:hint="eastAsia" w:ascii="黑体" w:hAnsi="黑体" w:eastAsia="黑体" w:cs="黑体"/>
          <w:b w:val="0"/>
          <w:i w:val="0"/>
          <w:caps w:val="0"/>
          <w:color w:val="000000"/>
          <w:spacing w:val="0"/>
          <w:w w:val="100"/>
          <w:sz w:val="32"/>
          <w:szCs w:val="32"/>
          <w:lang w:val="en-US" w:eastAsia="zh-CN"/>
        </w:rPr>
        <w:t>一、完善“投促+部门+产业”招商体系，加大产业招商力度。</w:t>
      </w:r>
      <w:r>
        <w:rPr>
          <w:rFonts w:hint="eastAsia" w:ascii="仿宋_GB2312" w:hAnsi="仿宋_GB2312" w:eastAsia="仿宋_GB2312" w:cs="仿宋_GB2312"/>
          <w:b w:val="0"/>
          <w:i w:val="0"/>
          <w:caps w:val="0"/>
          <w:color w:val="000000"/>
          <w:spacing w:val="0"/>
          <w:w w:val="100"/>
          <w:kern w:val="2"/>
          <w:sz w:val="32"/>
          <w:szCs w:val="32"/>
          <w:lang w:val="en-US" w:eastAsia="zh-CN" w:bidi="ar-SA"/>
        </w:rPr>
        <w:t>强化区投资促进局对招商引资工作的牵头抓总和统筹协调职能，充分发挥产业招商部门产业招商优势，调动各街道、功能区在产业招商过程中，特别是项目落地环节的积极性、联动性，精准开展产业招商，吸引重点产业链上下游企业来钢城投资落户，为全区经济社会发展提供项目支撑，增强发展后劲。202</w:t>
      </w:r>
      <w:r>
        <w:rPr>
          <w:rFonts w:hint="default" w:ascii="仿宋_GB2312" w:hAnsi="仿宋_GB2312" w:eastAsia="仿宋_GB2312" w:cs="仿宋_GB2312"/>
          <w:b w:val="0"/>
          <w:i w:val="0"/>
          <w:caps w:val="0"/>
          <w:color w:val="000000"/>
          <w:spacing w:val="0"/>
          <w:w w:val="100"/>
          <w:kern w:val="2"/>
          <w:sz w:val="32"/>
          <w:szCs w:val="32"/>
          <w:lang w:val="en-US" w:eastAsia="zh-CN" w:bidi="ar-SA"/>
        </w:rPr>
        <w:t>2</w:t>
      </w:r>
      <w:r>
        <w:rPr>
          <w:rFonts w:hint="eastAsia" w:ascii="仿宋_GB2312" w:hAnsi="仿宋_GB2312" w:eastAsia="仿宋_GB2312" w:cs="仿宋_GB2312"/>
          <w:b w:val="0"/>
          <w:i w:val="0"/>
          <w:caps w:val="0"/>
          <w:color w:val="000000"/>
          <w:spacing w:val="0"/>
          <w:w w:val="100"/>
          <w:kern w:val="2"/>
          <w:sz w:val="32"/>
          <w:szCs w:val="32"/>
          <w:lang w:val="en-US" w:eastAsia="zh-CN" w:bidi="ar-SA"/>
        </w:rPr>
        <w:t>年，我们将重点围绕新兴科技、文旅康养、现代农业、金融资本等产业，加强与工信局、文旅局、农业农村局、金融办等部门的合作，联合开展精准招商，不断破解制约我区发展的短板。科技招商，我们将重点加强与山东省产业技术研究院、山东大学、中国钢研科技集团、北京科技大学、清华大学、省农科所等科研院所的合作，发挥科创中心的平台作用，加快科技成果的转化与企业的孵化，逐步培育发展新兴产业。其中，重点加大电子材料、粉末冶金、畜禽种业、文旅康养、装配式建筑等重点产业的招商力度，逐步形成前端有研发平台和科研成果，中间有企业孵化、资本介入，后端新兴企业融合集聚的良好生态。重点推进钢城电子材料研究院、山东大学3D打印研究院、先进材料研究院、现代种业研究院、装配式建筑研究院等科研平台的打造。推动COF基板用聚酰亚胺薄膜、电子级热塑性聚酰亚胺TPI、5G高频低介电聚酰亚胺MPI、液晶高分子聚合物材料LCP等电子材料项目；推动山东未来畜禽种业国家现代农业产业园项目，推动山东高速-莱钢绿建重型装配式建筑产业园项目、中能融合装配式建筑产业园项目，加大对棋山国家森林公园、大汶河湿地公园的招商力度，争取项目早日落地达产。加大金融资本的招商力度，促进金融资本与实体经济的融合，破解企业融资瓶颈，增强企业发展动力。</w:t>
      </w:r>
    </w:p>
    <w:p>
      <w:pPr>
        <w:keepNext w:val="0"/>
        <w:keepLines w:val="0"/>
        <w:pageBreakBefore w:val="0"/>
        <w:widowControl w:val="0"/>
        <w:kinsoku/>
        <w:wordWrap/>
        <w:overflowPunct/>
        <w:topLinePunct w:val="0"/>
        <w:autoSpaceDE/>
        <w:autoSpaceDN/>
        <w:bidi w:val="0"/>
        <w:adjustRightInd/>
        <w:snapToGrid/>
        <w:spacing w:before="0" w:beforeAutospacing="0" w:after="3" w:afterAutospacing="0" w:line="616" w:lineRule="exact"/>
        <w:ind w:right="163" w:firstLine="640" w:firstLineChars="200"/>
        <w:textAlignment w:val="baseline"/>
        <w:rPr>
          <w:rFonts w:hint="eastAsia" w:ascii="仿宋_GB2312" w:hAnsi="仿宋_GB2312" w:eastAsia="仿宋_GB2312" w:cs="仿宋_GB2312"/>
          <w:b w:val="0"/>
          <w:i w:val="0"/>
          <w:caps w:val="0"/>
          <w:color w:val="000000"/>
          <w:spacing w:val="0"/>
          <w:w w:val="100"/>
          <w:kern w:val="2"/>
          <w:sz w:val="32"/>
          <w:szCs w:val="32"/>
          <w:lang w:val="en-US" w:eastAsia="zh-CN" w:bidi="ar-SA"/>
        </w:rPr>
      </w:pPr>
      <w:r>
        <w:rPr>
          <w:rFonts w:hint="eastAsia" w:ascii="黑体" w:hAnsi="黑体" w:eastAsia="黑体" w:cs="黑体"/>
          <w:b w:val="0"/>
          <w:i w:val="0"/>
          <w:caps w:val="0"/>
          <w:color w:val="000000"/>
          <w:spacing w:val="0"/>
          <w:w w:val="100"/>
          <w:sz w:val="32"/>
          <w:szCs w:val="32"/>
          <w:lang w:val="en-US" w:eastAsia="zh-CN"/>
        </w:rPr>
        <w:t>二、绘制产业招商路线图，引进重点核心企业。</w:t>
      </w:r>
      <w:r>
        <w:rPr>
          <w:rFonts w:hint="eastAsia" w:ascii="仿宋_GB2312" w:hAnsi="仿宋_GB2312" w:eastAsia="仿宋_GB2312" w:cs="仿宋_GB2312"/>
          <w:b w:val="0"/>
          <w:i w:val="0"/>
          <w:caps w:val="0"/>
          <w:color w:val="000000"/>
          <w:spacing w:val="0"/>
          <w:w w:val="100"/>
          <w:kern w:val="2"/>
          <w:sz w:val="32"/>
          <w:szCs w:val="32"/>
          <w:lang w:val="en-US" w:eastAsia="zh-CN" w:bidi="ar-SA"/>
        </w:rPr>
        <w:t>一是绘制产业招商路线图。按照“重点集聚、产城一体、高端引领、特色产业”的发展导向，强化顶层设计，围绕区委区政府确定的“2+4”重点发展产业，围绕产业链关键环节，认真研究分析产业基础、产业现状、产业发展规律，梳理制定行业龙头和上下游企业招商目录，形成产业招商发展报告。同时找出每个产业的核心企业，精准对接，确保引进个头大、产业带动能力强、技术含量高的行业龙头企业项目落地。各街道、功能区也根据自己的特色产业，分别明确1-2个重点发展产业，围绕重点产业谋规划、引项目。我们将在原来全区招商行动方案的基础上，实行产业链长制，每个副区长负责一个产业链招商，推动产业招商的深入发展。二是绘制闲置低效用地图 。在全面摸清全区闲置地块、楼宇、厂房、存量土地的基础上，绘制全区闲置低效用地、闲置车间、闲置商场楼宇等闲置资源地图，采取多种措施，选择适宜的产业项目落户，不断盘活各类闲置资源和低效用地。其中，重点推进红星美凯龙、中彩固废处理、佳怡物流等项目，不断补齐发展的短板。</w:t>
      </w:r>
    </w:p>
    <w:p>
      <w:pPr>
        <w:keepNext w:val="0"/>
        <w:keepLines w:val="0"/>
        <w:pageBreakBefore w:val="0"/>
        <w:widowControl w:val="0"/>
        <w:kinsoku/>
        <w:wordWrap/>
        <w:overflowPunct/>
        <w:topLinePunct w:val="0"/>
        <w:autoSpaceDE/>
        <w:autoSpaceDN/>
        <w:bidi w:val="0"/>
        <w:adjustRightInd/>
        <w:snapToGrid/>
        <w:spacing w:before="0" w:beforeAutospacing="0" w:after="3" w:afterAutospacing="0" w:line="616" w:lineRule="exact"/>
        <w:ind w:right="163" w:firstLine="640" w:firstLineChars="200"/>
        <w:textAlignment w:val="baseline"/>
        <w:rPr>
          <w:rFonts w:hint="eastAsia" w:ascii="仿宋_GB2312" w:hAnsi="仿宋_GB2312" w:eastAsia="仿宋_GB2312" w:cs="仿宋_GB2312"/>
          <w:b w:val="0"/>
          <w:i w:val="0"/>
          <w:caps w:val="0"/>
          <w:color w:val="000000"/>
          <w:spacing w:val="0"/>
          <w:w w:val="100"/>
          <w:kern w:val="2"/>
          <w:sz w:val="32"/>
          <w:szCs w:val="32"/>
          <w:lang w:val="en-US" w:eastAsia="zh-CN" w:bidi="ar-SA"/>
        </w:rPr>
      </w:pPr>
      <w:r>
        <w:rPr>
          <w:rFonts w:hint="eastAsia" w:ascii="黑体" w:hAnsi="黑体" w:eastAsia="黑体" w:cs="黑体"/>
          <w:b w:val="0"/>
          <w:i w:val="0"/>
          <w:caps w:val="0"/>
          <w:color w:val="000000"/>
          <w:spacing w:val="0"/>
          <w:w w:val="100"/>
          <w:sz w:val="32"/>
          <w:szCs w:val="32"/>
          <w:lang w:val="en-US" w:eastAsia="zh-CN"/>
        </w:rPr>
        <w:t>三、拓宽招商渠道，多方聚集招商资源。</w:t>
      </w:r>
      <w:r>
        <w:rPr>
          <w:rFonts w:hint="eastAsia" w:ascii="仿宋_GB2312" w:hAnsi="仿宋_GB2312" w:eastAsia="仿宋_GB2312" w:cs="仿宋_GB2312"/>
          <w:b w:val="0"/>
          <w:i w:val="0"/>
          <w:caps w:val="0"/>
          <w:color w:val="000000"/>
          <w:spacing w:val="0"/>
          <w:w w:val="100"/>
          <w:kern w:val="2"/>
          <w:sz w:val="32"/>
          <w:szCs w:val="32"/>
          <w:lang w:val="en-US" w:eastAsia="zh-CN" w:bidi="ar-SA"/>
        </w:rPr>
        <w:t>推进招商引资工作的市场化运作，加快与中产集团等各类专业招商机构的合作，利用好济南驻北京、上海办事处和商会的资源优势，在做好疏解北京非首都职能、上海重点产业的转移上下功夫，争取落地一批项目。加强与央企、省属企业、市属平台企业的对接合作，开展各类国有企业钢城行活动，争取国有企业有项目落户钢城。发挥挂靠在济南市投促中心3名招商专员作用，与市级招商平台积极对接，实现资源共享，市区联动，让更多符合我区产业的项目落地钢城。加强与济南高新区及济南中心城区的紧密合作，主动承接各类产业项目的转移，做好“飞地项目”的承载和落地工作。对全区的重点招商项目和载体，借助各类招商中介，加大社会招商力度，不断提高专业招商时效。</w:t>
      </w:r>
    </w:p>
    <w:p>
      <w:pPr>
        <w:keepNext w:val="0"/>
        <w:keepLines w:val="0"/>
        <w:pageBreakBefore w:val="0"/>
        <w:widowControl w:val="0"/>
        <w:kinsoku/>
        <w:wordWrap/>
        <w:overflowPunct/>
        <w:topLinePunct w:val="0"/>
        <w:autoSpaceDE/>
        <w:autoSpaceDN/>
        <w:bidi w:val="0"/>
        <w:adjustRightInd/>
        <w:snapToGrid/>
        <w:spacing w:before="0" w:beforeAutospacing="0" w:after="3" w:afterAutospacing="0" w:line="616" w:lineRule="exact"/>
        <w:ind w:right="163" w:firstLine="640" w:firstLineChars="200"/>
        <w:textAlignment w:val="baseline"/>
        <w:rPr>
          <w:rFonts w:hint="eastAsia" w:ascii="仿宋_GB2312" w:hAnsi="仿宋_GB2312" w:eastAsia="仿宋_GB2312" w:cs="仿宋_GB2312"/>
          <w:b w:val="0"/>
          <w:i w:val="0"/>
          <w:caps w:val="0"/>
          <w:color w:val="000000"/>
          <w:spacing w:val="0"/>
          <w:w w:val="100"/>
          <w:kern w:val="2"/>
          <w:sz w:val="32"/>
          <w:szCs w:val="32"/>
          <w:lang w:val="en-US" w:eastAsia="zh-CN" w:bidi="ar-SA"/>
        </w:rPr>
      </w:pPr>
      <w:r>
        <w:rPr>
          <w:rFonts w:hint="eastAsia" w:ascii="黑体" w:hAnsi="黑体" w:eastAsia="黑体" w:cs="黑体"/>
          <w:b w:val="0"/>
          <w:i w:val="0"/>
          <w:caps w:val="0"/>
          <w:color w:val="000000"/>
          <w:spacing w:val="0"/>
          <w:w w:val="100"/>
          <w:sz w:val="32"/>
          <w:szCs w:val="32"/>
          <w:lang w:val="en-US" w:eastAsia="zh-CN"/>
        </w:rPr>
        <w:t>四、强化招商队伍建设，实施专业化招商。</w:t>
      </w:r>
      <w:r>
        <w:rPr>
          <w:rFonts w:hint="eastAsia" w:ascii="仿宋_GB2312" w:hAnsi="仿宋_GB2312" w:eastAsia="仿宋_GB2312" w:cs="仿宋_GB2312"/>
          <w:b w:val="0"/>
          <w:i w:val="0"/>
          <w:caps w:val="0"/>
          <w:color w:val="000000"/>
          <w:spacing w:val="0"/>
          <w:w w:val="100"/>
          <w:kern w:val="2"/>
          <w:sz w:val="32"/>
          <w:szCs w:val="32"/>
          <w:lang w:val="en-US" w:eastAsia="zh-CN" w:bidi="ar-SA"/>
        </w:rPr>
        <w:t>围绕粉末冶金与汽车零部件、文旅康养、电子信息、现代农业、新能源与节能环保，各组建一支有韧性、懂经济、会谈判、沟通能力强的高素质专业招商队伍，紧抓分工产业领域的招商引资工作，特别是产业链龙头项目、配套项目、研发机构引进，促进产业融合集聚、做大做强。各街道、功能区围绕自身产业特点，分别组建一支产业招商队伍，在产业集聚区开展产业招商。</w:t>
      </w:r>
    </w:p>
    <w:p>
      <w:pPr>
        <w:pStyle w:val="2"/>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616" w:lineRule="exact"/>
        <w:ind w:left="0" w:leftChars="0" w:right="0" w:firstLine="640" w:firstLineChars="200"/>
        <w:jc w:val="both"/>
        <w:textAlignment w:val="baseline"/>
        <w:rPr>
          <w:rFonts w:hint="eastAsia" w:ascii="仿宋_GB2312" w:hAnsi="仿宋_GB2312" w:eastAsia="仿宋_GB2312" w:cs="仿宋_GB2312"/>
          <w:b w:val="0"/>
          <w:i w:val="0"/>
          <w:caps w:val="0"/>
          <w:color w:val="000000"/>
          <w:spacing w:val="0"/>
          <w:w w:val="100"/>
          <w:kern w:val="2"/>
          <w:sz w:val="32"/>
          <w:szCs w:val="32"/>
          <w:lang w:val="en-US" w:eastAsia="zh-CN" w:bidi="ar-SA"/>
        </w:rPr>
      </w:pPr>
      <w:r>
        <w:rPr>
          <w:rFonts w:hint="eastAsia" w:ascii="黑体" w:hAnsi="黑体" w:eastAsia="黑体" w:cs="黑体"/>
          <w:b w:val="0"/>
          <w:i w:val="0"/>
          <w:caps w:val="0"/>
          <w:color w:val="000000"/>
          <w:spacing w:val="0"/>
          <w:w w:val="100"/>
          <w:sz w:val="32"/>
          <w:szCs w:val="32"/>
          <w:lang w:val="en-US" w:eastAsia="zh-CN"/>
        </w:rPr>
        <w:t>借助招商活动，提高招商实效。</w:t>
      </w:r>
      <w:r>
        <w:rPr>
          <w:rFonts w:hint="eastAsia" w:ascii="仿宋_GB2312" w:hAnsi="仿宋_GB2312" w:eastAsia="仿宋_GB2312" w:cs="仿宋_GB2312"/>
          <w:b w:val="0"/>
          <w:i w:val="0"/>
          <w:caps w:val="0"/>
          <w:color w:val="000000"/>
          <w:spacing w:val="0"/>
          <w:w w:val="100"/>
          <w:kern w:val="2"/>
          <w:sz w:val="32"/>
          <w:szCs w:val="32"/>
          <w:lang w:val="en-US" w:eastAsia="zh-CN" w:bidi="ar-SA"/>
        </w:rPr>
        <w:t>一是组织召开专题推介会。围绕我区产业特点及企业布局，在北京、重庆、深圳等地召开智能制造、汽车零部件、电子信息等产业专题推介会，通过拜访客商、座谈交流、集中签约等形式，推动项目落地钢城。二是利用好市级各类活动平台。组织筹备好儒商大会、跨国公司领导人青岛峰会、与500强连线等各类省、市重点招商活动，做好项目包装策划工作，借助大企业、大平台开展招商活动和项目对接，力争引进一批龙头型、基地型重大优质项目。三是定期举行集中开工活动。坚持以开工促落地，以开工比成效，及时了解签约项目进展情况，定期组织项目集中开工活动。</w:t>
      </w:r>
    </w:p>
    <w:p>
      <w:pPr>
        <w:keepNext w:val="0"/>
        <w:keepLines w:val="0"/>
        <w:pageBreakBefore w:val="0"/>
        <w:widowControl w:val="0"/>
        <w:kinsoku/>
        <w:wordWrap/>
        <w:overflowPunct/>
        <w:topLinePunct w:val="0"/>
        <w:autoSpaceDE/>
        <w:autoSpaceDN/>
        <w:bidi w:val="0"/>
        <w:adjustRightInd/>
        <w:snapToGrid/>
        <w:spacing w:before="0" w:beforeAutospacing="0" w:after="3" w:afterAutospacing="0" w:line="616" w:lineRule="exact"/>
        <w:ind w:right="163" w:firstLine="631"/>
        <w:jc w:val="left"/>
        <w:textAlignment w:val="baseline"/>
        <w:rPr>
          <w:rFonts w:hint="eastAsia" w:ascii="仿宋_GB2312" w:hAnsi="仿宋_GB2312" w:eastAsia="仿宋_GB2312" w:cs="仿宋_GB2312"/>
          <w:b w:val="0"/>
          <w:i w:val="0"/>
          <w:caps w:val="0"/>
          <w:color w:val="000000"/>
          <w:spacing w:val="0"/>
          <w:w w:val="100"/>
          <w:kern w:val="2"/>
          <w:sz w:val="32"/>
          <w:szCs w:val="32"/>
          <w:lang w:val="en-US" w:eastAsia="zh-CN" w:bidi="ar-SA"/>
        </w:rPr>
      </w:pPr>
      <w:r>
        <w:rPr>
          <w:rFonts w:hint="eastAsia" w:ascii="黑体" w:hAnsi="黑体" w:eastAsia="黑体" w:cs="黑体"/>
          <w:b w:val="0"/>
          <w:i w:val="0"/>
          <w:caps w:val="0"/>
          <w:color w:val="000000"/>
          <w:spacing w:val="0"/>
          <w:w w:val="100"/>
          <w:sz w:val="32"/>
          <w:szCs w:val="32"/>
          <w:lang w:eastAsia="zh-CN"/>
        </w:rPr>
        <w:t>六</w:t>
      </w:r>
      <w:r>
        <w:rPr>
          <w:rFonts w:hint="eastAsia" w:ascii="黑体" w:hAnsi="黑体" w:eastAsia="黑体" w:cs="黑体"/>
          <w:b w:val="0"/>
          <w:i w:val="0"/>
          <w:caps w:val="0"/>
          <w:color w:val="000000"/>
          <w:spacing w:val="0"/>
          <w:w w:val="100"/>
          <w:sz w:val="32"/>
          <w:szCs w:val="32"/>
        </w:rPr>
        <w:t>、</w:t>
      </w:r>
      <w:r>
        <w:rPr>
          <w:rFonts w:hint="eastAsia" w:ascii="黑体" w:hAnsi="黑体" w:eastAsia="黑体" w:cs="黑体"/>
          <w:b w:val="0"/>
          <w:i w:val="0"/>
          <w:caps w:val="0"/>
          <w:color w:val="000000"/>
          <w:spacing w:val="0"/>
          <w:w w:val="100"/>
          <w:sz w:val="32"/>
          <w:szCs w:val="32"/>
          <w:lang w:eastAsia="zh-CN"/>
        </w:rPr>
        <w:t>扩大对外开放，加大</w:t>
      </w:r>
      <w:r>
        <w:rPr>
          <w:rFonts w:hint="eastAsia" w:ascii="黑体" w:hAnsi="黑体" w:eastAsia="黑体" w:cs="黑体"/>
          <w:b w:val="0"/>
          <w:i w:val="0"/>
          <w:caps w:val="0"/>
          <w:color w:val="000000"/>
          <w:spacing w:val="0"/>
          <w:w w:val="100"/>
          <w:sz w:val="32"/>
          <w:szCs w:val="32"/>
          <w:lang w:val="en-US" w:eastAsia="zh-CN"/>
        </w:rPr>
        <w:t>外资招商力度</w:t>
      </w:r>
      <w:r>
        <w:rPr>
          <w:rFonts w:hint="eastAsia" w:ascii="黑体" w:hAnsi="黑体" w:eastAsia="黑体" w:cs="黑体"/>
          <w:b w:val="0"/>
          <w:i w:val="0"/>
          <w:caps w:val="0"/>
          <w:color w:val="000000"/>
          <w:spacing w:val="0"/>
          <w:w w:val="100"/>
          <w:sz w:val="32"/>
          <w:szCs w:val="32"/>
        </w:rPr>
        <w:t>。</w:t>
      </w:r>
      <w:r>
        <w:rPr>
          <w:rFonts w:hint="eastAsia" w:ascii="仿宋_GB2312" w:hAnsi="仿宋_GB2312" w:eastAsia="仿宋_GB2312" w:cs="仿宋_GB2312"/>
          <w:b w:val="0"/>
          <w:i w:val="0"/>
          <w:caps w:val="0"/>
          <w:color w:val="000000"/>
          <w:spacing w:val="0"/>
          <w:w w:val="100"/>
          <w:kern w:val="2"/>
          <w:sz w:val="32"/>
          <w:szCs w:val="32"/>
          <w:lang w:val="en-US" w:eastAsia="zh-CN" w:bidi="ar-SA"/>
        </w:rPr>
        <w:t>一是加大制造业外资、日韩资招商力度。进一步强化制造业外资和日韩资的招引，坚持高层推进与重点突破相结合、大规模招商与委托专业招商相结合，加大招商的力度和频率，拓宽项目来源，集中力量突破，超额完成制造业和日韩资任务。重点推进济南能源集团的光伏发电项目、日本高温节能热辐射吸收材料(HRC) 项目、山东韩华国际贸易有限公司手机摄像头盖镜头生产项目等项目。二是筹备日韩招商活动。逐项摸排梳理全区与日韩有贸易往来的企业，发挥好外商投资企业“服务大使”作用，积极推送外资企业优惠政策政策，引导企业利用外资。精心策划日韩资招商活动，组织部分企业负责人到日韩等地专题招商，吸引日韩企业来我区设立外资企业。</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16" w:lineRule="exact"/>
        <w:ind w:left="0" w:leftChars="0" w:right="0" w:firstLine="640" w:firstLineChars="200"/>
        <w:textAlignment w:val="baseline"/>
        <w:rPr>
          <w:rFonts w:hint="eastAsia" w:ascii="仿宋_GB2312" w:hAnsi="仿宋_GB2312" w:eastAsia="仿宋_GB2312" w:cs="仿宋_GB2312"/>
          <w:b w:val="0"/>
          <w:i w:val="0"/>
          <w:caps w:val="0"/>
          <w:color w:val="000000"/>
          <w:spacing w:val="0"/>
          <w:w w:val="100"/>
          <w:kern w:val="2"/>
          <w:sz w:val="32"/>
          <w:szCs w:val="32"/>
          <w:lang w:val="en-US" w:eastAsia="zh-CN" w:bidi="ar-SA"/>
        </w:rPr>
      </w:pPr>
      <w:r>
        <w:rPr>
          <w:rFonts w:hint="eastAsia" w:ascii="黑体" w:hAnsi="黑体" w:eastAsia="黑体" w:cs="黑体"/>
          <w:b w:val="0"/>
          <w:i w:val="0"/>
          <w:caps w:val="0"/>
          <w:color w:val="000000"/>
          <w:spacing w:val="0"/>
          <w:w w:val="100"/>
          <w:sz w:val="32"/>
          <w:szCs w:val="32"/>
          <w:lang w:val="en-US" w:eastAsia="zh-CN"/>
        </w:rPr>
        <w:t>七、</w:t>
      </w:r>
      <w:r>
        <w:rPr>
          <w:rFonts w:hint="eastAsia" w:ascii="黑体" w:hAnsi="黑体" w:eastAsia="黑体" w:cs="黑体"/>
          <w:b w:val="0"/>
          <w:i w:val="0"/>
          <w:caps w:val="0"/>
          <w:color w:val="000000"/>
          <w:spacing w:val="0"/>
          <w:w w:val="100"/>
          <w:kern w:val="2"/>
          <w:sz w:val="32"/>
          <w:szCs w:val="32"/>
          <w:lang w:val="en-US" w:eastAsia="zh-CN" w:bidi="ar-SA"/>
        </w:rPr>
        <w:t>创新方式方法，</w:t>
      </w:r>
      <w:r>
        <w:rPr>
          <w:rFonts w:hint="eastAsia" w:ascii="黑体" w:hAnsi="黑体" w:eastAsia="黑体" w:cs="黑体"/>
          <w:b w:val="0"/>
          <w:i w:val="0"/>
          <w:caps w:val="0"/>
          <w:color w:val="000000"/>
          <w:spacing w:val="0"/>
          <w:w w:val="100"/>
          <w:sz w:val="32"/>
          <w:szCs w:val="32"/>
          <w:lang w:val="en-US" w:eastAsia="zh-CN"/>
        </w:rPr>
        <w:t>强化督查考核。</w:t>
      </w:r>
      <w:bookmarkStart w:id="0" w:name="_GoBack"/>
      <w:r>
        <w:rPr>
          <w:rFonts w:hint="eastAsia" w:ascii="仿宋_GB2312" w:hAnsi="仿宋_GB2312" w:eastAsia="仿宋_GB2312" w:cs="仿宋_GB2312"/>
          <w:b w:val="0"/>
          <w:i w:val="0"/>
          <w:caps w:val="0"/>
          <w:color w:val="000000"/>
          <w:spacing w:val="0"/>
          <w:w w:val="100"/>
          <w:kern w:val="2"/>
          <w:sz w:val="32"/>
          <w:szCs w:val="32"/>
          <w:lang w:val="en-US" w:eastAsia="zh-CN" w:bidi="ar-SA"/>
        </w:rPr>
        <w:t>一是加大招商引资项目跟踪督查力度。对新签约项目、在建项目的实施中存在的困难和问题进行及时了解和掌握，促进项目早开工、早投产，提高签约项目的落地率、资金到位率和开工率。二是做好招商引资考核工作。进一步完善和实施招商引资考核，根据任务分配和工作实际，制定考核方案和考核细则，严格执行考核制度，用踏石留印、抓铁有痕的劲头抓好措施的落实，确保全面完成招商引资工作目标任务和项目落地推进。</w:t>
      </w:r>
    </w:p>
    <w:bookmarkEnd w:id="0"/>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16" w:lineRule="exact"/>
        <w:ind w:left="0" w:leftChars="0" w:right="0" w:firstLine="640" w:firstLineChars="200"/>
        <w:jc w:val="both"/>
        <w:textAlignment w:val="baseline"/>
        <w:rPr>
          <w:rFonts w:hint="eastAsia" w:ascii="仿宋" w:hAnsi="仿宋" w:eastAsia="仿宋" w:cs="仿宋"/>
          <w:b w:val="0"/>
          <w:i w:val="0"/>
          <w:caps w:val="0"/>
          <w:color w:val="000000"/>
          <w:spacing w:val="0"/>
          <w:w w:val="100"/>
          <w:sz w:val="32"/>
          <w:szCs w:val="32"/>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仿宋_GB2312" w:hAnsi="仿宋_GB2312" w:eastAsia="仿宋_GB2312" w:cs="仿宋_GB2312"/>
          <w:b w:val="0"/>
          <w:i w:val="0"/>
          <w:caps w:val="0"/>
          <w:color w:val="000000"/>
          <w:spacing w:val="0"/>
          <w:w w:val="100"/>
          <w:sz w:val="32"/>
          <w:szCs w:val="32"/>
          <w:lang w:val="en-US" w:eastAsia="zh-CN"/>
        </w:rPr>
      </w:pPr>
    </w:p>
    <w:sectPr>
      <w:footerReference r:id="rId3" w:type="default"/>
      <w:pgSz w:w="11906" w:h="16838"/>
      <w:pgMar w:top="1531" w:right="1587" w:bottom="153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A53AC4-DD0F-4DCC-809B-FA2372D3AFB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2" w:fontKey="{6E67934A-BC7E-493B-A069-FE1D3CFE2582}"/>
  </w:font>
  <w:font w:name="仿宋_GB2312">
    <w:panose1 w:val="02010609030101010101"/>
    <w:charset w:val="86"/>
    <w:family w:val="auto"/>
    <w:pitch w:val="default"/>
    <w:sig w:usb0="00000001" w:usb1="080E0000" w:usb2="00000000" w:usb3="00000000" w:csb0="00040000" w:csb1="00000000"/>
    <w:embedRegular r:id="rId3" w:fontKey="{76CE6F7A-28F6-475A-85A2-2A1F6940D7E6}"/>
  </w:font>
  <w:font w:name="楷体_GB2312">
    <w:panose1 w:val="02010609030101010101"/>
    <w:charset w:val="86"/>
    <w:family w:val="modern"/>
    <w:pitch w:val="default"/>
    <w:sig w:usb0="00000001" w:usb1="080E0000" w:usb2="00000000" w:usb3="00000000" w:csb0="00040000" w:csb1="00000000"/>
    <w:embedRegular r:id="rId4" w:fontKey="{1851BCCE-95CA-434A-926C-95553F9F3363}"/>
  </w:font>
  <w:font w:name="方正楷体_GB2312">
    <w:panose1 w:val="02000000000000000000"/>
    <w:charset w:val="86"/>
    <w:family w:val="auto"/>
    <w:pitch w:val="default"/>
    <w:sig w:usb0="A00002BF" w:usb1="184F6CFA" w:usb2="00000012" w:usb3="00000000" w:csb0="00040001" w:csb1="00000000"/>
    <w:embedRegular r:id="rId5" w:fontKey="{A48DDB6A-C26A-4EFD-A7E5-DC308C22A659}"/>
  </w:font>
  <w:font w:name="仿宋">
    <w:panose1 w:val="02010609060101010101"/>
    <w:charset w:val="86"/>
    <w:family w:val="modern"/>
    <w:pitch w:val="default"/>
    <w:sig w:usb0="800002BF" w:usb1="38CF7CFA" w:usb2="00000016" w:usb3="00000000" w:csb0="00040001" w:csb1="00000000"/>
    <w:embedRegular r:id="rId6" w:fontKey="{F40CB19A-CC17-40D0-A0B1-D9EFC3381984}"/>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cs="Times New Roman"/>
      </w:rPr>
    </w:pPr>
    <w:r>
      <w:fldChar w:fldCharType="begin"/>
    </w:r>
    <w:r>
      <w:instrText xml:space="preserve"> PAGE   \* MERGEFORMAT </w:instrText>
    </w:r>
    <w:r>
      <w:fldChar w:fldCharType="separate"/>
    </w:r>
    <w:r>
      <w:rPr>
        <w:lang w:val="zh-CN"/>
      </w:rPr>
      <w:t>5</w:t>
    </w:r>
    <w:r>
      <w:rPr>
        <w:lang w:val="zh-CN"/>
      </w:rPr>
      <w:fldChar w:fldCharType="end"/>
    </w:r>
  </w:p>
  <w:p>
    <w:pPr>
      <w:pStyle w:val="1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5"/>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5E4"/>
    <w:rsid w:val="00006FD9"/>
    <w:rsid w:val="00016D5E"/>
    <w:rsid w:val="00022E5E"/>
    <w:rsid w:val="000331FB"/>
    <w:rsid w:val="000571F2"/>
    <w:rsid w:val="00080E56"/>
    <w:rsid w:val="000A662A"/>
    <w:rsid w:val="000B5BB2"/>
    <w:rsid w:val="000B670E"/>
    <w:rsid w:val="000B77C2"/>
    <w:rsid w:val="000C673B"/>
    <w:rsid w:val="000D6736"/>
    <w:rsid w:val="000E2311"/>
    <w:rsid w:val="000E6CD2"/>
    <w:rsid w:val="000F42C9"/>
    <w:rsid w:val="00101D1E"/>
    <w:rsid w:val="00106601"/>
    <w:rsid w:val="00116CF7"/>
    <w:rsid w:val="001570FD"/>
    <w:rsid w:val="00157CEE"/>
    <w:rsid w:val="00182313"/>
    <w:rsid w:val="001826B1"/>
    <w:rsid w:val="0019658B"/>
    <w:rsid w:val="001A3CD8"/>
    <w:rsid w:val="001B3C41"/>
    <w:rsid w:val="001D57CE"/>
    <w:rsid w:val="001D59E1"/>
    <w:rsid w:val="001D60D7"/>
    <w:rsid w:val="00200DED"/>
    <w:rsid w:val="002060EB"/>
    <w:rsid w:val="00256E6E"/>
    <w:rsid w:val="00276054"/>
    <w:rsid w:val="002A7061"/>
    <w:rsid w:val="002B2F6D"/>
    <w:rsid w:val="002B3555"/>
    <w:rsid w:val="002C24F5"/>
    <w:rsid w:val="002E2103"/>
    <w:rsid w:val="002E4356"/>
    <w:rsid w:val="00302659"/>
    <w:rsid w:val="0032107F"/>
    <w:rsid w:val="00336880"/>
    <w:rsid w:val="00342ED3"/>
    <w:rsid w:val="0035013F"/>
    <w:rsid w:val="0038395A"/>
    <w:rsid w:val="0039031B"/>
    <w:rsid w:val="0039046A"/>
    <w:rsid w:val="003B26A8"/>
    <w:rsid w:val="003D15E4"/>
    <w:rsid w:val="00400A56"/>
    <w:rsid w:val="00420A15"/>
    <w:rsid w:val="0042188A"/>
    <w:rsid w:val="00443520"/>
    <w:rsid w:val="0045584F"/>
    <w:rsid w:val="00457163"/>
    <w:rsid w:val="00466058"/>
    <w:rsid w:val="00467BEE"/>
    <w:rsid w:val="0048767E"/>
    <w:rsid w:val="00493A02"/>
    <w:rsid w:val="004B0529"/>
    <w:rsid w:val="004C661E"/>
    <w:rsid w:val="004D216D"/>
    <w:rsid w:val="004E40F2"/>
    <w:rsid w:val="004E6032"/>
    <w:rsid w:val="004F6D28"/>
    <w:rsid w:val="00511E79"/>
    <w:rsid w:val="00512A74"/>
    <w:rsid w:val="005215EF"/>
    <w:rsid w:val="00567087"/>
    <w:rsid w:val="005A78BB"/>
    <w:rsid w:val="005C372C"/>
    <w:rsid w:val="00624CB0"/>
    <w:rsid w:val="006272E6"/>
    <w:rsid w:val="00627F74"/>
    <w:rsid w:val="006470AC"/>
    <w:rsid w:val="0065063D"/>
    <w:rsid w:val="00684D89"/>
    <w:rsid w:val="00685E0C"/>
    <w:rsid w:val="00687365"/>
    <w:rsid w:val="00694125"/>
    <w:rsid w:val="006E1233"/>
    <w:rsid w:val="006F1533"/>
    <w:rsid w:val="0070432C"/>
    <w:rsid w:val="007315B6"/>
    <w:rsid w:val="00732621"/>
    <w:rsid w:val="007725CD"/>
    <w:rsid w:val="00780FAD"/>
    <w:rsid w:val="00786846"/>
    <w:rsid w:val="00792EA0"/>
    <w:rsid w:val="007940BD"/>
    <w:rsid w:val="00795CE6"/>
    <w:rsid w:val="007B6213"/>
    <w:rsid w:val="007B7605"/>
    <w:rsid w:val="007C597D"/>
    <w:rsid w:val="007D2E1E"/>
    <w:rsid w:val="007F5BC3"/>
    <w:rsid w:val="00807D7E"/>
    <w:rsid w:val="008177EE"/>
    <w:rsid w:val="008356B1"/>
    <w:rsid w:val="008769A8"/>
    <w:rsid w:val="00883E7E"/>
    <w:rsid w:val="008A0E07"/>
    <w:rsid w:val="008C00A1"/>
    <w:rsid w:val="008C4291"/>
    <w:rsid w:val="008C44DC"/>
    <w:rsid w:val="008E21C6"/>
    <w:rsid w:val="008E4366"/>
    <w:rsid w:val="008F7A14"/>
    <w:rsid w:val="009032C8"/>
    <w:rsid w:val="0092715D"/>
    <w:rsid w:val="0095117C"/>
    <w:rsid w:val="00954A77"/>
    <w:rsid w:val="009560BA"/>
    <w:rsid w:val="00974D98"/>
    <w:rsid w:val="00977361"/>
    <w:rsid w:val="00980038"/>
    <w:rsid w:val="0099734B"/>
    <w:rsid w:val="009A4240"/>
    <w:rsid w:val="009B290E"/>
    <w:rsid w:val="009D1A86"/>
    <w:rsid w:val="009E458F"/>
    <w:rsid w:val="009E5704"/>
    <w:rsid w:val="009E69A8"/>
    <w:rsid w:val="009F0C17"/>
    <w:rsid w:val="009F6D5C"/>
    <w:rsid w:val="00A26231"/>
    <w:rsid w:val="00A26B49"/>
    <w:rsid w:val="00A35CA7"/>
    <w:rsid w:val="00A65BD8"/>
    <w:rsid w:val="00A949D3"/>
    <w:rsid w:val="00AC1745"/>
    <w:rsid w:val="00AD7A06"/>
    <w:rsid w:val="00AE3B94"/>
    <w:rsid w:val="00AE3D3E"/>
    <w:rsid w:val="00AF6CF3"/>
    <w:rsid w:val="00B04C08"/>
    <w:rsid w:val="00B056BD"/>
    <w:rsid w:val="00B17554"/>
    <w:rsid w:val="00B64181"/>
    <w:rsid w:val="00B761AA"/>
    <w:rsid w:val="00B913F1"/>
    <w:rsid w:val="00B93F67"/>
    <w:rsid w:val="00BC169E"/>
    <w:rsid w:val="00BC28FE"/>
    <w:rsid w:val="00BF2AE9"/>
    <w:rsid w:val="00C04B8F"/>
    <w:rsid w:val="00C071B4"/>
    <w:rsid w:val="00C13CF1"/>
    <w:rsid w:val="00C7403F"/>
    <w:rsid w:val="00C74EC5"/>
    <w:rsid w:val="00C83D4C"/>
    <w:rsid w:val="00CA2CA6"/>
    <w:rsid w:val="00D14585"/>
    <w:rsid w:val="00D21DCF"/>
    <w:rsid w:val="00D4777E"/>
    <w:rsid w:val="00D6074A"/>
    <w:rsid w:val="00DA1A44"/>
    <w:rsid w:val="00DC680A"/>
    <w:rsid w:val="00DD4B67"/>
    <w:rsid w:val="00E07310"/>
    <w:rsid w:val="00E20953"/>
    <w:rsid w:val="00E22136"/>
    <w:rsid w:val="00E231AD"/>
    <w:rsid w:val="00E30B4C"/>
    <w:rsid w:val="00E623AA"/>
    <w:rsid w:val="00EF228A"/>
    <w:rsid w:val="00EF59F4"/>
    <w:rsid w:val="00F12E20"/>
    <w:rsid w:val="00F15674"/>
    <w:rsid w:val="00F27EB6"/>
    <w:rsid w:val="00F316BF"/>
    <w:rsid w:val="00F34C4C"/>
    <w:rsid w:val="00F8536D"/>
    <w:rsid w:val="00F85EBE"/>
    <w:rsid w:val="00FD5BBB"/>
    <w:rsid w:val="011402EF"/>
    <w:rsid w:val="01335DB4"/>
    <w:rsid w:val="018B66D5"/>
    <w:rsid w:val="0190453A"/>
    <w:rsid w:val="01B57D90"/>
    <w:rsid w:val="01DE18DD"/>
    <w:rsid w:val="023357C7"/>
    <w:rsid w:val="025038F9"/>
    <w:rsid w:val="0262205D"/>
    <w:rsid w:val="028932D8"/>
    <w:rsid w:val="029C765C"/>
    <w:rsid w:val="02AB3673"/>
    <w:rsid w:val="02B22849"/>
    <w:rsid w:val="02F56195"/>
    <w:rsid w:val="03110832"/>
    <w:rsid w:val="031E2C48"/>
    <w:rsid w:val="033D70FF"/>
    <w:rsid w:val="034921C9"/>
    <w:rsid w:val="03497417"/>
    <w:rsid w:val="035362EB"/>
    <w:rsid w:val="036E6E6C"/>
    <w:rsid w:val="038652DB"/>
    <w:rsid w:val="038C1AEF"/>
    <w:rsid w:val="03C92B30"/>
    <w:rsid w:val="03E44531"/>
    <w:rsid w:val="04065247"/>
    <w:rsid w:val="040672C3"/>
    <w:rsid w:val="041F6C6B"/>
    <w:rsid w:val="04253689"/>
    <w:rsid w:val="042C5600"/>
    <w:rsid w:val="044A14AE"/>
    <w:rsid w:val="04552EDE"/>
    <w:rsid w:val="045A0122"/>
    <w:rsid w:val="046735F7"/>
    <w:rsid w:val="04747E2F"/>
    <w:rsid w:val="047B060B"/>
    <w:rsid w:val="04877F40"/>
    <w:rsid w:val="048C5B00"/>
    <w:rsid w:val="04943BDA"/>
    <w:rsid w:val="049A470A"/>
    <w:rsid w:val="04B61986"/>
    <w:rsid w:val="04CA1272"/>
    <w:rsid w:val="04EA1696"/>
    <w:rsid w:val="05193557"/>
    <w:rsid w:val="05410BFE"/>
    <w:rsid w:val="05452DA2"/>
    <w:rsid w:val="058C34A9"/>
    <w:rsid w:val="059B71D5"/>
    <w:rsid w:val="05B92499"/>
    <w:rsid w:val="05D00001"/>
    <w:rsid w:val="05E10CED"/>
    <w:rsid w:val="05E3606F"/>
    <w:rsid w:val="05E5077F"/>
    <w:rsid w:val="060D3F06"/>
    <w:rsid w:val="062657DC"/>
    <w:rsid w:val="06515BD0"/>
    <w:rsid w:val="066E1FBC"/>
    <w:rsid w:val="068346C9"/>
    <w:rsid w:val="06D31F56"/>
    <w:rsid w:val="070206AC"/>
    <w:rsid w:val="07174C49"/>
    <w:rsid w:val="075C19B0"/>
    <w:rsid w:val="077E1919"/>
    <w:rsid w:val="07876C88"/>
    <w:rsid w:val="07932E18"/>
    <w:rsid w:val="079534E6"/>
    <w:rsid w:val="07EC3866"/>
    <w:rsid w:val="07F50842"/>
    <w:rsid w:val="08036A36"/>
    <w:rsid w:val="08197AA5"/>
    <w:rsid w:val="082D3F26"/>
    <w:rsid w:val="084E5F52"/>
    <w:rsid w:val="084F603B"/>
    <w:rsid w:val="085A0333"/>
    <w:rsid w:val="088343DF"/>
    <w:rsid w:val="08A52353"/>
    <w:rsid w:val="08BD6D65"/>
    <w:rsid w:val="08C17094"/>
    <w:rsid w:val="08C546D4"/>
    <w:rsid w:val="08FC180C"/>
    <w:rsid w:val="08FE5AC1"/>
    <w:rsid w:val="09057E1A"/>
    <w:rsid w:val="0918647A"/>
    <w:rsid w:val="09222D01"/>
    <w:rsid w:val="092C64A7"/>
    <w:rsid w:val="0930180D"/>
    <w:rsid w:val="094A2242"/>
    <w:rsid w:val="09695DAB"/>
    <w:rsid w:val="098775FB"/>
    <w:rsid w:val="098920C2"/>
    <w:rsid w:val="09A01B7A"/>
    <w:rsid w:val="09B7230B"/>
    <w:rsid w:val="09C43250"/>
    <w:rsid w:val="09C929B8"/>
    <w:rsid w:val="09F71834"/>
    <w:rsid w:val="0A130F53"/>
    <w:rsid w:val="0A2A6D54"/>
    <w:rsid w:val="0A3D1479"/>
    <w:rsid w:val="0A5C0A18"/>
    <w:rsid w:val="0A6B0BC2"/>
    <w:rsid w:val="0A6E3EE0"/>
    <w:rsid w:val="0A796BC8"/>
    <w:rsid w:val="0A9175D0"/>
    <w:rsid w:val="0AD42734"/>
    <w:rsid w:val="0ADD17FA"/>
    <w:rsid w:val="0AE37AF2"/>
    <w:rsid w:val="0B014383"/>
    <w:rsid w:val="0B2B5814"/>
    <w:rsid w:val="0B30273A"/>
    <w:rsid w:val="0B3C0A22"/>
    <w:rsid w:val="0B3C4D29"/>
    <w:rsid w:val="0B5105A8"/>
    <w:rsid w:val="0B727961"/>
    <w:rsid w:val="0B79339B"/>
    <w:rsid w:val="0B8208EA"/>
    <w:rsid w:val="0B987534"/>
    <w:rsid w:val="0BB92EB8"/>
    <w:rsid w:val="0C0510BE"/>
    <w:rsid w:val="0C312A38"/>
    <w:rsid w:val="0C3B47CD"/>
    <w:rsid w:val="0C603BCB"/>
    <w:rsid w:val="0C6C0885"/>
    <w:rsid w:val="0C844400"/>
    <w:rsid w:val="0CA27F79"/>
    <w:rsid w:val="0CA36A40"/>
    <w:rsid w:val="0CF07403"/>
    <w:rsid w:val="0CF83B34"/>
    <w:rsid w:val="0D275CE2"/>
    <w:rsid w:val="0D42761D"/>
    <w:rsid w:val="0D5848FC"/>
    <w:rsid w:val="0D6E5BB1"/>
    <w:rsid w:val="0DA007F0"/>
    <w:rsid w:val="0DA7360B"/>
    <w:rsid w:val="0DDD3282"/>
    <w:rsid w:val="0DFB2ADA"/>
    <w:rsid w:val="0E0A4EA7"/>
    <w:rsid w:val="0E0C1A02"/>
    <w:rsid w:val="0E3056E1"/>
    <w:rsid w:val="0E651831"/>
    <w:rsid w:val="0E891C59"/>
    <w:rsid w:val="0EC8252B"/>
    <w:rsid w:val="0ED33139"/>
    <w:rsid w:val="0EE4407D"/>
    <w:rsid w:val="0EE754F8"/>
    <w:rsid w:val="0EF812A2"/>
    <w:rsid w:val="0F11053D"/>
    <w:rsid w:val="0F4C6872"/>
    <w:rsid w:val="0F56613D"/>
    <w:rsid w:val="0F6454B8"/>
    <w:rsid w:val="0F886DD6"/>
    <w:rsid w:val="0F9934E0"/>
    <w:rsid w:val="0FC149EB"/>
    <w:rsid w:val="0FDD0C9C"/>
    <w:rsid w:val="0FDE170F"/>
    <w:rsid w:val="0FFD28C1"/>
    <w:rsid w:val="10157DEA"/>
    <w:rsid w:val="10562F83"/>
    <w:rsid w:val="10B15F4D"/>
    <w:rsid w:val="10B4152A"/>
    <w:rsid w:val="10D34358"/>
    <w:rsid w:val="10D944A5"/>
    <w:rsid w:val="10E3118F"/>
    <w:rsid w:val="11003013"/>
    <w:rsid w:val="11044DC8"/>
    <w:rsid w:val="11262D2A"/>
    <w:rsid w:val="112C0984"/>
    <w:rsid w:val="113503A1"/>
    <w:rsid w:val="117C5E19"/>
    <w:rsid w:val="11891358"/>
    <w:rsid w:val="1193254B"/>
    <w:rsid w:val="11A95730"/>
    <w:rsid w:val="11F144CB"/>
    <w:rsid w:val="120741FF"/>
    <w:rsid w:val="121B7F35"/>
    <w:rsid w:val="12527ED1"/>
    <w:rsid w:val="12580B89"/>
    <w:rsid w:val="12775C88"/>
    <w:rsid w:val="127B29AA"/>
    <w:rsid w:val="12AD0FBB"/>
    <w:rsid w:val="12BD369D"/>
    <w:rsid w:val="13607AE4"/>
    <w:rsid w:val="13784E43"/>
    <w:rsid w:val="139D6429"/>
    <w:rsid w:val="139D75F2"/>
    <w:rsid w:val="13B84E48"/>
    <w:rsid w:val="13EC429B"/>
    <w:rsid w:val="13FD2CCD"/>
    <w:rsid w:val="13FF57A3"/>
    <w:rsid w:val="140128A9"/>
    <w:rsid w:val="14040844"/>
    <w:rsid w:val="140969E2"/>
    <w:rsid w:val="140F6CE5"/>
    <w:rsid w:val="14155389"/>
    <w:rsid w:val="14455D1E"/>
    <w:rsid w:val="145048E5"/>
    <w:rsid w:val="145F767E"/>
    <w:rsid w:val="147A3F5E"/>
    <w:rsid w:val="148373FC"/>
    <w:rsid w:val="14BB404A"/>
    <w:rsid w:val="14C90416"/>
    <w:rsid w:val="15054C6F"/>
    <w:rsid w:val="155D458D"/>
    <w:rsid w:val="15770F87"/>
    <w:rsid w:val="157C41DB"/>
    <w:rsid w:val="158B58FE"/>
    <w:rsid w:val="15A13A31"/>
    <w:rsid w:val="15D24A1F"/>
    <w:rsid w:val="15E32D29"/>
    <w:rsid w:val="15EF759B"/>
    <w:rsid w:val="15FE1B56"/>
    <w:rsid w:val="160360A3"/>
    <w:rsid w:val="16751FDB"/>
    <w:rsid w:val="16840F0A"/>
    <w:rsid w:val="16BC2B9F"/>
    <w:rsid w:val="170202A3"/>
    <w:rsid w:val="172C5DC3"/>
    <w:rsid w:val="17326A92"/>
    <w:rsid w:val="1739094E"/>
    <w:rsid w:val="17613932"/>
    <w:rsid w:val="178469EC"/>
    <w:rsid w:val="17986F73"/>
    <w:rsid w:val="17A97DB3"/>
    <w:rsid w:val="17E43C03"/>
    <w:rsid w:val="18131D1F"/>
    <w:rsid w:val="183E5D3E"/>
    <w:rsid w:val="184B481D"/>
    <w:rsid w:val="18B64787"/>
    <w:rsid w:val="18BC7758"/>
    <w:rsid w:val="18D4231B"/>
    <w:rsid w:val="18DA76F3"/>
    <w:rsid w:val="19100BF5"/>
    <w:rsid w:val="19444B28"/>
    <w:rsid w:val="19755990"/>
    <w:rsid w:val="197E12FB"/>
    <w:rsid w:val="199C74C4"/>
    <w:rsid w:val="19E66801"/>
    <w:rsid w:val="1A02020F"/>
    <w:rsid w:val="1A2A1D3C"/>
    <w:rsid w:val="1A390893"/>
    <w:rsid w:val="1A3E0CDA"/>
    <w:rsid w:val="1A405C86"/>
    <w:rsid w:val="1A851FDE"/>
    <w:rsid w:val="1AC17A05"/>
    <w:rsid w:val="1AD24EF3"/>
    <w:rsid w:val="1AF06D3D"/>
    <w:rsid w:val="1B054F84"/>
    <w:rsid w:val="1B0877AB"/>
    <w:rsid w:val="1B0D01F4"/>
    <w:rsid w:val="1B210AFE"/>
    <w:rsid w:val="1B477014"/>
    <w:rsid w:val="1B920552"/>
    <w:rsid w:val="1BD15EEC"/>
    <w:rsid w:val="1BDA4C79"/>
    <w:rsid w:val="1BEC4EC0"/>
    <w:rsid w:val="1C02356F"/>
    <w:rsid w:val="1C1E2A05"/>
    <w:rsid w:val="1C203DEB"/>
    <w:rsid w:val="1C44723F"/>
    <w:rsid w:val="1C516C1A"/>
    <w:rsid w:val="1C591E80"/>
    <w:rsid w:val="1C626F88"/>
    <w:rsid w:val="1C8209D0"/>
    <w:rsid w:val="1C8D6606"/>
    <w:rsid w:val="1CAE3BC3"/>
    <w:rsid w:val="1CC07D67"/>
    <w:rsid w:val="1CCA52BC"/>
    <w:rsid w:val="1CCC679F"/>
    <w:rsid w:val="1CD238A2"/>
    <w:rsid w:val="1CF81DB3"/>
    <w:rsid w:val="1CFC5F1D"/>
    <w:rsid w:val="1D3B68F5"/>
    <w:rsid w:val="1D6A0919"/>
    <w:rsid w:val="1D732B59"/>
    <w:rsid w:val="1D876D68"/>
    <w:rsid w:val="1D9A4C3E"/>
    <w:rsid w:val="1DA5122D"/>
    <w:rsid w:val="1DA956EE"/>
    <w:rsid w:val="1DC92C25"/>
    <w:rsid w:val="1DCF0C89"/>
    <w:rsid w:val="1DD247C4"/>
    <w:rsid w:val="1DDC5B13"/>
    <w:rsid w:val="1DE334F3"/>
    <w:rsid w:val="1DE80F68"/>
    <w:rsid w:val="1DFE2F5C"/>
    <w:rsid w:val="1E0527AF"/>
    <w:rsid w:val="1E1127E0"/>
    <w:rsid w:val="1E13140F"/>
    <w:rsid w:val="1E3B7607"/>
    <w:rsid w:val="1E444C62"/>
    <w:rsid w:val="1E84688E"/>
    <w:rsid w:val="1E8932FC"/>
    <w:rsid w:val="1E8C7255"/>
    <w:rsid w:val="1ECC70DE"/>
    <w:rsid w:val="1EDE18CC"/>
    <w:rsid w:val="1F1C0263"/>
    <w:rsid w:val="1F2539E8"/>
    <w:rsid w:val="1F3B53C0"/>
    <w:rsid w:val="1F6141C2"/>
    <w:rsid w:val="1F7D0186"/>
    <w:rsid w:val="1F807C6C"/>
    <w:rsid w:val="1F8821BB"/>
    <w:rsid w:val="1F9373DC"/>
    <w:rsid w:val="1FAB2644"/>
    <w:rsid w:val="1FCA55F7"/>
    <w:rsid w:val="20047F91"/>
    <w:rsid w:val="20220AAE"/>
    <w:rsid w:val="20814C59"/>
    <w:rsid w:val="20FC335F"/>
    <w:rsid w:val="21062B13"/>
    <w:rsid w:val="21231586"/>
    <w:rsid w:val="2126783F"/>
    <w:rsid w:val="21352BFD"/>
    <w:rsid w:val="21510144"/>
    <w:rsid w:val="215B2183"/>
    <w:rsid w:val="215E6CB8"/>
    <w:rsid w:val="218B466D"/>
    <w:rsid w:val="21A7019B"/>
    <w:rsid w:val="21AD2A5F"/>
    <w:rsid w:val="21AF3E5C"/>
    <w:rsid w:val="21AF4BCE"/>
    <w:rsid w:val="21D342CD"/>
    <w:rsid w:val="21E64DCA"/>
    <w:rsid w:val="21FD56E1"/>
    <w:rsid w:val="220F3177"/>
    <w:rsid w:val="22161648"/>
    <w:rsid w:val="221A55F6"/>
    <w:rsid w:val="221F37B9"/>
    <w:rsid w:val="224118F3"/>
    <w:rsid w:val="22844BFC"/>
    <w:rsid w:val="228A6223"/>
    <w:rsid w:val="22957658"/>
    <w:rsid w:val="22A46978"/>
    <w:rsid w:val="22D71D1E"/>
    <w:rsid w:val="22DF7E58"/>
    <w:rsid w:val="23251FFF"/>
    <w:rsid w:val="233005A8"/>
    <w:rsid w:val="23317528"/>
    <w:rsid w:val="2384680B"/>
    <w:rsid w:val="238649C3"/>
    <w:rsid w:val="238B27DF"/>
    <w:rsid w:val="238C13EB"/>
    <w:rsid w:val="240F3FD6"/>
    <w:rsid w:val="24185771"/>
    <w:rsid w:val="242275A2"/>
    <w:rsid w:val="244B71ED"/>
    <w:rsid w:val="24557B24"/>
    <w:rsid w:val="246A0804"/>
    <w:rsid w:val="24840DC7"/>
    <w:rsid w:val="24B45395"/>
    <w:rsid w:val="24C4330A"/>
    <w:rsid w:val="24E83F37"/>
    <w:rsid w:val="24FA4D7F"/>
    <w:rsid w:val="25264230"/>
    <w:rsid w:val="253460A8"/>
    <w:rsid w:val="255D40D3"/>
    <w:rsid w:val="2561557C"/>
    <w:rsid w:val="256D03F8"/>
    <w:rsid w:val="2583323C"/>
    <w:rsid w:val="25BA24D9"/>
    <w:rsid w:val="261105B5"/>
    <w:rsid w:val="26182E8E"/>
    <w:rsid w:val="26191357"/>
    <w:rsid w:val="2628436B"/>
    <w:rsid w:val="265A2683"/>
    <w:rsid w:val="265A5CAA"/>
    <w:rsid w:val="266207DC"/>
    <w:rsid w:val="26645C28"/>
    <w:rsid w:val="2669195A"/>
    <w:rsid w:val="268161FB"/>
    <w:rsid w:val="26950BE5"/>
    <w:rsid w:val="26AC0D6D"/>
    <w:rsid w:val="26B17631"/>
    <w:rsid w:val="26B80396"/>
    <w:rsid w:val="26CB4EFA"/>
    <w:rsid w:val="26D26813"/>
    <w:rsid w:val="26E13761"/>
    <w:rsid w:val="26E86BA3"/>
    <w:rsid w:val="272B1AB7"/>
    <w:rsid w:val="272F10FD"/>
    <w:rsid w:val="273345AE"/>
    <w:rsid w:val="274D0259"/>
    <w:rsid w:val="277004A1"/>
    <w:rsid w:val="277A29D7"/>
    <w:rsid w:val="278F36B3"/>
    <w:rsid w:val="27B57756"/>
    <w:rsid w:val="27BE16A2"/>
    <w:rsid w:val="282104E2"/>
    <w:rsid w:val="283C6304"/>
    <w:rsid w:val="28513991"/>
    <w:rsid w:val="286559E6"/>
    <w:rsid w:val="286D5476"/>
    <w:rsid w:val="288F7452"/>
    <w:rsid w:val="28942114"/>
    <w:rsid w:val="289E72BF"/>
    <w:rsid w:val="28A95EB4"/>
    <w:rsid w:val="28DD430A"/>
    <w:rsid w:val="28F57611"/>
    <w:rsid w:val="29727E87"/>
    <w:rsid w:val="29A730CF"/>
    <w:rsid w:val="2A2627AA"/>
    <w:rsid w:val="2A275AED"/>
    <w:rsid w:val="2A3E31A4"/>
    <w:rsid w:val="2A4301EB"/>
    <w:rsid w:val="2A5C318E"/>
    <w:rsid w:val="2A6F16E5"/>
    <w:rsid w:val="2A6F269E"/>
    <w:rsid w:val="2A874D66"/>
    <w:rsid w:val="2A9D68F5"/>
    <w:rsid w:val="2AA73775"/>
    <w:rsid w:val="2AA85BEF"/>
    <w:rsid w:val="2AB33DD9"/>
    <w:rsid w:val="2B1418E6"/>
    <w:rsid w:val="2B3043CD"/>
    <w:rsid w:val="2B374304"/>
    <w:rsid w:val="2B3D5E6C"/>
    <w:rsid w:val="2B6A0A30"/>
    <w:rsid w:val="2B761267"/>
    <w:rsid w:val="2BAF1907"/>
    <w:rsid w:val="2BB133FC"/>
    <w:rsid w:val="2BBA44EF"/>
    <w:rsid w:val="2BBC79BC"/>
    <w:rsid w:val="2BF479C7"/>
    <w:rsid w:val="2BF5171E"/>
    <w:rsid w:val="2BFC3BEB"/>
    <w:rsid w:val="2C276B03"/>
    <w:rsid w:val="2C3C11CF"/>
    <w:rsid w:val="2C3F6E1B"/>
    <w:rsid w:val="2C4A61F2"/>
    <w:rsid w:val="2C590640"/>
    <w:rsid w:val="2C6E7990"/>
    <w:rsid w:val="2CA123F6"/>
    <w:rsid w:val="2CCA2F4B"/>
    <w:rsid w:val="2CDD78E7"/>
    <w:rsid w:val="2CF6334E"/>
    <w:rsid w:val="2CFC55D9"/>
    <w:rsid w:val="2D0C40C3"/>
    <w:rsid w:val="2D0E190F"/>
    <w:rsid w:val="2D323A53"/>
    <w:rsid w:val="2D3D4477"/>
    <w:rsid w:val="2D571B4A"/>
    <w:rsid w:val="2D603E62"/>
    <w:rsid w:val="2D614DA5"/>
    <w:rsid w:val="2D663845"/>
    <w:rsid w:val="2DA8261B"/>
    <w:rsid w:val="2DAA6EDC"/>
    <w:rsid w:val="2DC5082F"/>
    <w:rsid w:val="2DDE323E"/>
    <w:rsid w:val="2DE00AF8"/>
    <w:rsid w:val="2E0D39F3"/>
    <w:rsid w:val="2E405659"/>
    <w:rsid w:val="2E557381"/>
    <w:rsid w:val="2E9B3C48"/>
    <w:rsid w:val="2EA12D0E"/>
    <w:rsid w:val="2ECA0DC0"/>
    <w:rsid w:val="2F143999"/>
    <w:rsid w:val="2F1A38AA"/>
    <w:rsid w:val="2F1D614D"/>
    <w:rsid w:val="2F3C2531"/>
    <w:rsid w:val="2F7E765A"/>
    <w:rsid w:val="2F9A1D16"/>
    <w:rsid w:val="2FB759ED"/>
    <w:rsid w:val="2FC804F3"/>
    <w:rsid w:val="300D380D"/>
    <w:rsid w:val="30621FE0"/>
    <w:rsid w:val="3073690A"/>
    <w:rsid w:val="307902E9"/>
    <w:rsid w:val="30BF7BFE"/>
    <w:rsid w:val="30CB7DA8"/>
    <w:rsid w:val="30E10CDD"/>
    <w:rsid w:val="30EA0B33"/>
    <w:rsid w:val="30FE2DE3"/>
    <w:rsid w:val="31172E31"/>
    <w:rsid w:val="312556ED"/>
    <w:rsid w:val="312E56E2"/>
    <w:rsid w:val="31613637"/>
    <w:rsid w:val="318E333D"/>
    <w:rsid w:val="31AC14AD"/>
    <w:rsid w:val="31DD6B36"/>
    <w:rsid w:val="31FB66A3"/>
    <w:rsid w:val="31FE4AF0"/>
    <w:rsid w:val="32003399"/>
    <w:rsid w:val="320930B1"/>
    <w:rsid w:val="322E0A24"/>
    <w:rsid w:val="32506538"/>
    <w:rsid w:val="32526AE3"/>
    <w:rsid w:val="329E3E38"/>
    <w:rsid w:val="32A80392"/>
    <w:rsid w:val="32AC7C50"/>
    <w:rsid w:val="32C54080"/>
    <w:rsid w:val="332229BE"/>
    <w:rsid w:val="335B142E"/>
    <w:rsid w:val="335E2763"/>
    <w:rsid w:val="33B95501"/>
    <w:rsid w:val="33B96CB2"/>
    <w:rsid w:val="33BB3A67"/>
    <w:rsid w:val="33D36E7E"/>
    <w:rsid w:val="33DF5FD5"/>
    <w:rsid w:val="33F66BF1"/>
    <w:rsid w:val="34001C1A"/>
    <w:rsid w:val="3412155D"/>
    <w:rsid w:val="34421604"/>
    <w:rsid w:val="34563831"/>
    <w:rsid w:val="346A4F4F"/>
    <w:rsid w:val="347F35EB"/>
    <w:rsid w:val="34AD36F8"/>
    <w:rsid w:val="34B07F83"/>
    <w:rsid w:val="34B25980"/>
    <w:rsid w:val="34BA49DF"/>
    <w:rsid w:val="34BA6D1B"/>
    <w:rsid w:val="35074561"/>
    <w:rsid w:val="352E24E2"/>
    <w:rsid w:val="353D22EA"/>
    <w:rsid w:val="354062B0"/>
    <w:rsid w:val="354772A5"/>
    <w:rsid w:val="35505842"/>
    <w:rsid w:val="355836F3"/>
    <w:rsid w:val="35650A30"/>
    <w:rsid w:val="357A02CE"/>
    <w:rsid w:val="358D29FB"/>
    <w:rsid w:val="35914A77"/>
    <w:rsid w:val="359D2119"/>
    <w:rsid w:val="35C7579D"/>
    <w:rsid w:val="35E05553"/>
    <w:rsid w:val="35E9260B"/>
    <w:rsid w:val="35F412F6"/>
    <w:rsid w:val="3608472E"/>
    <w:rsid w:val="360B3F59"/>
    <w:rsid w:val="360F57D2"/>
    <w:rsid w:val="362C0F0F"/>
    <w:rsid w:val="36400B49"/>
    <w:rsid w:val="365E2E24"/>
    <w:rsid w:val="36860F58"/>
    <w:rsid w:val="36962BEA"/>
    <w:rsid w:val="369A74B0"/>
    <w:rsid w:val="36C1128C"/>
    <w:rsid w:val="36FF6BBA"/>
    <w:rsid w:val="37082341"/>
    <w:rsid w:val="370E7FDF"/>
    <w:rsid w:val="371B4CD5"/>
    <w:rsid w:val="371F26F9"/>
    <w:rsid w:val="37347546"/>
    <w:rsid w:val="373C705A"/>
    <w:rsid w:val="37563436"/>
    <w:rsid w:val="375E4153"/>
    <w:rsid w:val="378157F1"/>
    <w:rsid w:val="37AF46B4"/>
    <w:rsid w:val="37C32A93"/>
    <w:rsid w:val="37E54CEF"/>
    <w:rsid w:val="37FA3F64"/>
    <w:rsid w:val="382C1B23"/>
    <w:rsid w:val="38312677"/>
    <w:rsid w:val="384A2351"/>
    <w:rsid w:val="385320F2"/>
    <w:rsid w:val="385D6DEC"/>
    <w:rsid w:val="386A61CE"/>
    <w:rsid w:val="386B5679"/>
    <w:rsid w:val="388640FE"/>
    <w:rsid w:val="38DC57A6"/>
    <w:rsid w:val="39311AC1"/>
    <w:rsid w:val="39392BAF"/>
    <w:rsid w:val="394D6F41"/>
    <w:rsid w:val="395120AF"/>
    <w:rsid w:val="396443C0"/>
    <w:rsid w:val="397A5A60"/>
    <w:rsid w:val="39E61315"/>
    <w:rsid w:val="3A0748D9"/>
    <w:rsid w:val="3A35268D"/>
    <w:rsid w:val="3A4350A8"/>
    <w:rsid w:val="3A4558D2"/>
    <w:rsid w:val="3A4D4674"/>
    <w:rsid w:val="3A5311CD"/>
    <w:rsid w:val="3A6E1605"/>
    <w:rsid w:val="3A75255A"/>
    <w:rsid w:val="3A7F6C37"/>
    <w:rsid w:val="3AD73CFE"/>
    <w:rsid w:val="3AD9490D"/>
    <w:rsid w:val="3B004A26"/>
    <w:rsid w:val="3B1A401E"/>
    <w:rsid w:val="3B3C6D33"/>
    <w:rsid w:val="3B527187"/>
    <w:rsid w:val="3BDF5415"/>
    <w:rsid w:val="3BED2246"/>
    <w:rsid w:val="3C623630"/>
    <w:rsid w:val="3C676FA3"/>
    <w:rsid w:val="3C7A071C"/>
    <w:rsid w:val="3C836F05"/>
    <w:rsid w:val="3C930B08"/>
    <w:rsid w:val="3CCC7D23"/>
    <w:rsid w:val="3CCE539D"/>
    <w:rsid w:val="3CE80BB0"/>
    <w:rsid w:val="3D0A40FC"/>
    <w:rsid w:val="3D184BB4"/>
    <w:rsid w:val="3D1E4C4D"/>
    <w:rsid w:val="3D245E41"/>
    <w:rsid w:val="3D326D7C"/>
    <w:rsid w:val="3D6D617D"/>
    <w:rsid w:val="3D77175B"/>
    <w:rsid w:val="3D912D8E"/>
    <w:rsid w:val="3E4A386B"/>
    <w:rsid w:val="3E4F45BD"/>
    <w:rsid w:val="3EA14496"/>
    <w:rsid w:val="3EA602B1"/>
    <w:rsid w:val="3ED11362"/>
    <w:rsid w:val="3ED249F8"/>
    <w:rsid w:val="3EE55993"/>
    <w:rsid w:val="3EF64DC5"/>
    <w:rsid w:val="3EF67C10"/>
    <w:rsid w:val="3EF8556D"/>
    <w:rsid w:val="3EFE0F25"/>
    <w:rsid w:val="3F23143C"/>
    <w:rsid w:val="3F33591F"/>
    <w:rsid w:val="3F7455E4"/>
    <w:rsid w:val="3F7628AA"/>
    <w:rsid w:val="3F9D5DF4"/>
    <w:rsid w:val="3FA0241B"/>
    <w:rsid w:val="3FB71E86"/>
    <w:rsid w:val="3FB762EE"/>
    <w:rsid w:val="3FB81EB8"/>
    <w:rsid w:val="3FC357E3"/>
    <w:rsid w:val="3FD06CA5"/>
    <w:rsid w:val="3FE84F22"/>
    <w:rsid w:val="3FEF7AA9"/>
    <w:rsid w:val="3FF11BF3"/>
    <w:rsid w:val="401227D2"/>
    <w:rsid w:val="4045612C"/>
    <w:rsid w:val="40577BB0"/>
    <w:rsid w:val="406D3D1E"/>
    <w:rsid w:val="40EF5341"/>
    <w:rsid w:val="41180361"/>
    <w:rsid w:val="41345328"/>
    <w:rsid w:val="41661DDB"/>
    <w:rsid w:val="41C34825"/>
    <w:rsid w:val="41EB59CB"/>
    <w:rsid w:val="42194591"/>
    <w:rsid w:val="42236065"/>
    <w:rsid w:val="42376D8D"/>
    <w:rsid w:val="424E24AF"/>
    <w:rsid w:val="42626C49"/>
    <w:rsid w:val="42C26D68"/>
    <w:rsid w:val="433D0890"/>
    <w:rsid w:val="43446602"/>
    <w:rsid w:val="437C7CB4"/>
    <w:rsid w:val="439F4B56"/>
    <w:rsid w:val="43A679A5"/>
    <w:rsid w:val="43D92FA8"/>
    <w:rsid w:val="4419757C"/>
    <w:rsid w:val="441D7543"/>
    <w:rsid w:val="448C1B22"/>
    <w:rsid w:val="449D580D"/>
    <w:rsid w:val="449D5EA1"/>
    <w:rsid w:val="44A659AD"/>
    <w:rsid w:val="44D44B39"/>
    <w:rsid w:val="44EF095B"/>
    <w:rsid w:val="45042B08"/>
    <w:rsid w:val="450C3D3C"/>
    <w:rsid w:val="455617CA"/>
    <w:rsid w:val="45616718"/>
    <w:rsid w:val="456A6728"/>
    <w:rsid w:val="45772681"/>
    <w:rsid w:val="45A73F84"/>
    <w:rsid w:val="45C00F7A"/>
    <w:rsid w:val="45CC5116"/>
    <w:rsid w:val="4636634C"/>
    <w:rsid w:val="463929A0"/>
    <w:rsid w:val="464826A1"/>
    <w:rsid w:val="46AB6D9B"/>
    <w:rsid w:val="46B8696E"/>
    <w:rsid w:val="46E06281"/>
    <w:rsid w:val="471D00A6"/>
    <w:rsid w:val="471D6F0B"/>
    <w:rsid w:val="47465F41"/>
    <w:rsid w:val="475D027B"/>
    <w:rsid w:val="475D1DB6"/>
    <w:rsid w:val="479A18F8"/>
    <w:rsid w:val="47A37F33"/>
    <w:rsid w:val="47A81DD4"/>
    <w:rsid w:val="47B85744"/>
    <w:rsid w:val="47BA692A"/>
    <w:rsid w:val="47BC7CFD"/>
    <w:rsid w:val="47D4438A"/>
    <w:rsid w:val="4824279F"/>
    <w:rsid w:val="48346A9F"/>
    <w:rsid w:val="485C4ACD"/>
    <w:rsid w:val="485F0415"/>
    <w:rsid w:val="487D4B3E"/>
    <w:rsid w:val="48BD5884"/>
    <w:rsid w:val="48BE287A"/>
    <w:rsid w:val="48CE3D4B"/>
    <w:rsid w:val="48D82F79"/>
    <w:rsid w:val="4914095E"/>
    <w:rsid w:val="4915649E"/>
    <w:rsid w:val="49427F18"/>
    <w:rsid w:val="494E7B26"/>
    <w:rsid w:val="496D215A"/>
    <w:rsid w:val="497362B6"/>
    <w:rsid w:val="49950551"/>
    <w:rsid w:val="49A47FC4"/>
    <w:rsid w:val="4A2D690B"/>
    <w:rsid w:val="4A37573A"/>
    <w:rsid w:val="4A7070F9"/>
    <w:rsid w:val="4A831AEA"/>
    <w:rsid w:val="4A8E2375"/>
    <w:rsid w:val="4AAC2E8C"/>
    <w:rsid w:val="4AC352C7"/>
    <w:rsid w:val="4ACA16A6"/>
    <w:rsid w:val="4AEE4BBC"/>
    <w:rsid w:val="4B0978D8"/>
    <w:rsid w:val="4B0B13D7"/>
    <w:rsid w:val="4B1950F1"/>
    <w:rsid w:val="4B5C33FF"/>
    <w:rsid w:val="4B5C7471"/>
    <w:rsid w:val="4B755D1F"/>
    <w:rsid w:val="4BA02542"/>
    <w:rsid w:val="4BBF7D34"/>
    <w:rsid w:val="4BE00451"/>
    <w:rsid w:val="4BEA3630"/>
    <w:rsid w:val="4BF43138"/>
    <w:rsid w:val="4C094F5B"/>
    <w:rsid w:val="4C330373"/>
    <w:rsid w:val="4C515150"/>
    <w:rsid w:val="4C5965F5"/>
    <w:rsid w:val="4C5C7B29"/>
    <w:rsid w:val="4C5D7862"/>
    <w:rsid w:val="4C737671"/>
    <w:rsid w:val="4C7B2282"/>
    <w:rsid w:val="4C9969F8"/>
    <w:rsid w:val="4CCB1CFE"/>
    <w:rsid w:val="4D382B5A"/>
    <w:rsid w:val="4D3E0230"/>
    <w:rsid w:val="4D3F3616"/>
    <w:rsid w:val="4D581F7F"/>
    <w:rsid w:val="4D5E7323"/>
    <w:rsid w:val="4D6776F2"/>
    <w:rsid w:val="4D6C187B"/>
    <w:rsid w:val="4D7176D9"/>
    <w:rsid w:val="4D96782C"/>
    <w:rsid w:val="4D9A40A8"/>
    <w:rsid w:val="4DA74CEF"/>
    <w:rsid w:val="4DC91B14"/>
    <w:rsid w:val="4E0A05CA"/>
    <w:rsid w:val="4E1A238F"/>
    <w:rsid w:val="4E3118AD"/>
    <w:rsid w:val="4E4C0000"/>
    <w:rsid w:val="4E65316D"/>
    <w:rsid w:val="4E973572"/>
    <w:rsid w:val="4EB06EBF"/>
    <w:rsid w:val="4ED14928"/>
    <w:rsid w:val="4EE06920"/>
    <w:rsid w:val="4F193DCC"/>
    <w:rsid w:val="4F324E7B"/>
    <w:rsid w:val="4F5F1670"/>
    <w:rsid w:val="4F61209C"/>
    <w:rsid w:val="4FA3189E"/>
    <w:rsid w:val="4FDF0EFD"/>
    <w:rsid w:val="4FE20DA5"/>
    <w:rsid w:val="4FF34022"/>
    <w:rsid w:val="501629A1"/>
    <w:rsid w:val="50422EB9"/>
    <w:rsid w:val="504D6E2B"/>
    <w:rsid w:val="50560F36"/>
    <w:rsid w:val="50B42B13"/>
    <w:rsid w:val="50B47914"/>
    <w:rsid w:val="50E65C2D"/>
    <w:rsid w:val="50EC547D"/>
    <w:rsid w:val="50EF35C6"/>
    <w:rsid w:val="510D5FFA"/>
    <w:rsid w:val="511E7C2E"/>
    <w:rsid w:val="5120117D"/>
    <w:rsid w:val="51270392"/>
    <w:rsid w:val="51445A64"/>
    <w:rsid w:val="51457BDF"/>
    <w:rsid w:val="514E0BAE"/>
    <w:rsid w:val="5156444F"/>
    <w:rsid w:val="51797756"/>
    <w:rsid w:val="518D3F54"/>
    <w:rsid w:val="51A513F8"/>
    <w:rsid w:val="51B13CC5"/>
    <w:rsid w:val="51C814F9"/>
    <w:rsid w:val="51D55998"/>
    <w:rsid w:val="51D6264A"/>
    <w:rsid w:val="51EE3127"/>
    <w:rsid w:val="51FA029D"/>
    <w:rsid w:val="522D55B1"/>
    <w:rsid w:val="52484A93"/>
    <w:rsid w:val="528D22F3"/>
    <w:rsid w:val="52927DBD"/>
    <w:rsid w:val="529637F7"/>
    <w:rsid w:val="52BD50DA"/>
    <w:rsid w:val="53031ED0"/>
    <w:rsid w:val="53173084"/>
    <w:rsid w:val="5321590B"/>
    <w:rsid w:val="536F6988"/>
    <w:rsid w:val="53920156"/>
    <w:rsid w:val="53A3301A"/>
    <w:rsid w:val="53AA699B"/>
    <w:rsid w:val="53BB400B"/>
    <w:rsid w:val="53BF4AF3"/>
    <w:rsid w:val="53CB3F05"/>
    <w:rsid w:val="53E50C9E"/>
    <w:rsid w:val="53E602FA"/>
    <w:rsid w:val="53EE71AE"/>
    <w:rsid w:val="53F83945"/>
    <w:rsid w:val="540224C8"/>
    <w:rsid w:val="541625DA"/>
    <w:rsid w:val="543C40F6"/>
    <w:rsid w:val="545B273B"/>
    <w:rsid w:val="547B4514"/>
    <w:rsid w:val="54941F8B"/>
    <w:rsid w:val="54AE039E"/>
    <w:rsid w:val="54C76467"/>
    <w:rsid w:val="54ED07DD"/>
    <w:rsid w:val="54F33044"/>
    <w:rsid w:val="54F93A53"/>
    <w:rsid w:val="55170EBC"/>
    <w:rsid w:val="554C4643"/>
    <w:rsid w:val="555641F5"/>
    <w:rsid w:val="556F4778"/>
    <w:rsid w:val="55965E1D"/>
    <w:rsid w:val="55EA3460"/>
    <w:rsid w:val="55F36024"/>
    <w:rsid w:val="55FB0C5E"/>
    <w:rsid w:val="55FF35BC"/>
    <w:rsid w:val="56264A56"/>
    <w:rsid w:val="563424E6"/>
    <w:rsid w:val="564A2992"/>
    <w:rsid w:val="566923F5"/>
    <w:rsid w:val="566C64F0"/>
    <w:rsid w:val="56983DC2"/>
    <w:rsid w:val="56A67F99"/>
    <w:rsid w:val="56B83795"/>
    <w:rsid w:val="56DA0548"/>
    <w:rsid w:val="56EA1B15"/>
    <w:rsid w:val="56EE3C5C"/>
    <w:rsid w:val="56F125AB"/>
    <w:rsid w:val="570950DA"/>
    <w:rsid w:val="571A240F"/>
    <w:rsid w:val="576332BF"/>
    <w:rsid w:val="57866DEE"/>
    <w:rsid w:val="57AA2669"/>
    <w:rsid w:val="57B46790"/>
    <w:rsid w:val="57C4019E"/>
    <w:rsid w:val="57FB3906"/>
    <w:rsid w:val="57FB6F6C"/>
    <w:rsid w:val="58060FD9"/>
    <w:rsid w:val="580A0008"/>
    <w:rsid w:val="580B3774"/>
    <w:rsid w:val="581B5AAA"/>
    <w:rsid w:val="58253308"/>
    <w:rsid w:val="58597691"/>
    <w:rsid w:val="5861577E"/>
    <w:rsid w:val="586A1537"/>
    <w:rsid w:val="58764FC7"/>
    <w:rsid w:val="58B428C3"/>
    <w:rsid w:val="58C9438A"/>
    <w:rsid w:val="58CD50BB"/>
    <w:rsid w:val="58F30938"/>
    <w:rsid w:val="590D0212"/>
    <w:rsid w:val="59250546"/>
    <w:rsid w:val="594055DE"/>
    <w:rsid w:val="59661392"/>
    <w:rsid w:val="59AD4E28"/>
    <w:rsid w:val="59BB686D"/>
    <w:rsid w:val="59C86D11"/>
    <w:rsid w:val="5A306EC6"/>
    <w:rsid w:val="5AB63EEC"/>
    <w:rsid w:val="5AC63CA5"/>
    <w:rsid w:val="5AC70EF9"/>
    <w:rsid w:val="5AD43C22"/>
    <w:rsid w:val="5AF71032"/>
    <w:rsid w:val="5AFF38D8"/>
    <w:rsid w:val="5B3F0E9B"/>
    <w:rsid w:val="5B5E2E2E"/>
    <w:rsid w:val="5B5F797E"/>
    <w:rsid w:val="5B625688"/>
    <w:rsid w:val="5B8E03EE"/>
    <w:rsid w:val="5BA36A0C"/>
    <w:rsid w:val="5BE34C97"/>
    <w:rsid w:val="5BF50F9F"/>
    <w:rsid w:val="5BFF0E4E"/>
    <w:rsid w:val="5BFF2D9E"/>
    <w:rsid w:val="5C302ACC"/>
    <w:rsid w:val="5C3470F3"/>
    <w:rsid w:val="5C3E79F9"/>
    <w:rsid w:val="5C6E1FC6"/>
    <w:rsid w:val="5C813703"/>
    <w:rsid w:val="5C9127DF"/>
    <w:rsid w:val="5CCB171A"/>
    <w:rsid w:val="5CEB0B8D"/>
    <w:rsid w:val="5CEC6BA8"/>
    <w:rsid w:val="5D1E2BD6"/>
    <w:rsid w:val="5D265FAB"/>
    <w:rsid w:val="5D431487"/>
    <w:rsid w:val="5D947139"/>
    <w:rsid w:val="5D9B2D57"/>
    <w:rsid w:val="5D9D51F1"/>
    <w:rsid w:val="5DBA11FC"/>
    <w:rsid w:val="5DBB0B2A"/>
    <w:rsid w:val="5DDB4177"/>
    <w:rsid w:val="5DDF3B95"/>
    <w:rsid w:val="5DFF20CC"/>
    <w:rsid w:val="5E1673F6"/>
    <w:rsid w:val="5E2045CB"/>
    <w:rsid w:val="5E3031E7"/>
    <w:rsid w:val="5E331A79"/>
    <w:rsid w:val="5E401F08"/>
    <w:rsid w:val="5E5011B8"/>
    <w:rsid w:val="5E5F350D"/>
    <w:rsid w:val="5E6657F6"/>
    <w:rsid w:val="5E915E33"/>
    <w:rsid w:val="5E9548A6"/>
    <w:rsid w:val="5EB05E9D"/>
    <w:rsid w:val="5EC57482"/>
    <w:rsid w:val="5EF51D31"/>
    <w:rsid w:val="5F0221D1"/>
    <w:rsid w:val="5F1076C7"/>
    <w:rsid w:val="5F2A744D"/>
    <w:rsid w:val="5F4034B2"/>
    <w:rsid w:val="5F544147"/>
    <w:rsid w:val="5F547710"/>
    <w:rsid w:val="5F580921"/>
    <w:rsid w:val="5FA3701D"/>
    <w:rsid w:val="5FAD04F7"/>
    <w:rsid w:val="5FB31FEA"/>
    <w:rsid w:val="5FE75D56"/>
    <w:rsid w:val="603D3032"/>
    <w:rsid w:val="609500E0"/>
    <w:rsid w:val="6097285E"/>
    <w:rsid w:val="60B010D9"/>
    <w:rsid w:val="60C14F8A"/>
    <w:rsid w:val="60D248BC"/>
    <w:rsid w:val="60DA2578"/>
    <w:rsid w:val="60EB0D90"/>
    <w:rsid w:val="610C552C"/>
    <w:rsid w:val="610F39E9"/>
    <w:rsid w:val="61163062"/>
    <w:rsid w:val="614E1E3F"/>
    <w:rsid w:val="6190792E"/>
    <w:rsid w:val="61960F9A"/>
    <w:rsid w:val="61971F81"/>
    <w:rsid w:val="61996BE0"/>
    <w:rsid w:val="61BA61D4"/>
    <w:rsid w:val="61EF3CB2"/>
    <w:rsid w:val="620C5F74"/>
    <w:rsid w:val="62212A16"/>
    <w:rsid w:val="624B1588"/>
    <w:rsid w:val="62890437"/>
    <w:rsid w:val="62AF0BA0"/>
    <w:rsid w:val="62AF3FFF"/>
    <w:rsid w:val="62C2528E"/>
    <w:rsid w:val="62D01F0C"/>
    <w:rsid w:val="62E1558A"/>
    <w:rsid w:val="62FD335D"/>
    <w:rsid w:val="632738D7"/>
    <w:rsid w:val="63445F4E"/>
    <w:rsid w:val="635217F8"/>
    <w:rsid w:val="63621DAC"/>
    <w:rsid w:val="63671CD1"/>
    <w:rsid w:val="638237D6"/>
    <w:rsid w:val="6389191A"/>
    <w:rsid w:val="63D7724E"/>
    <w:rsid w:val="63EB5A15"/>
    <w:rsid w:val="63F7756E"/>
    <w:rsid w:val="64446B99"/>
    <w:rsid w:val="644F52B7"/>
    <w:rsid w:val="646779D2"/>
    <w:rsid w:val="64754769"/>
    <w:rsid w:val="647F7101"/>
    <w:rsid w:val="64BC4F6B"/>
    <w:rsid w:val="650F1EDC"/>
    <w:rsid w:val="651661AA"/>
    <w:rsid w:val="652B411D"/>
    <w:rsid w:val="653D4612"/>
    <w:rsid w:val="65435BDF"/>
    <w:rsid w:val="65631B24"/>
    <w:rsid w:val="65C02616"/>
    <w:rsid w:val="65F56D2B"/>
    <w:rsid w:val="65F76366"/>
    <w:rsid w:val="66047B3A"/>
    <w:rsid w:val="66065E83"/>
    <w:rsid w:val="66131069"/>
    <w:rsid w:val="66341B2C"/>
    <w:rsid w:val="665D490A"/>
    <w:rsid w:val="66740042"/>
    <w:rsid w:val="668A4B7B"/>
    <w:rsid w:val="66AA3A3F"/>
    <w:rsid w:val="66C334FA"/>
    <w:rsid w:val="678168B2"/>
    <w:rsid w:val="67917B37"/>
    <w:rsid w:val="679F3FA8"/>
    <w:rsid w:val="67A23FDB"/>
    <w:rsid w:val="67CC52B4"/>
    <w:rsid w:val="67E4325F"/>
    <w:rsid w:val="67FE1D17"/>
    <w:rsid w:val="68125346"/>
    <w:rsid w:val="681E2245"/>
    <w:rsid w:val="683B3683"/>
    <w:rsid w:val="686A1A71"/>
    <w:rsid w:val="686B12D4"/>
    <w:rsid w:val="68AA7102"/>
    <w:rsid w:val="68B4095B"/>
    <w:rsid w:val="68CF2865"/>
    <w:rsid w:val="68F034E4"/>
    <w:rsid w:val="692F1A17"/>
    <w:rsid w:val="693B0CF4"/>
    <w:rsid w:val="696E6C58"/>
    <w:rsid w:val="698255F9"/>
    <w:rsid w:val="69E45831"/>
    <w:rsid w:val="69EF0A49"/>
    <w:rsid w:val="69F15A5F"/>
    <w:rsid w:val="69FC6CA0"/>
    <w:rsid w:val="6A04322B"/>
    <w:rsid w:val="6A053ED4"/>
    <w:rsid w:val="6A1011A5"/>
    <w:rsid w:val="6A125C87"/>
    <w:rsid w:val="6A340C94"/>
    <w:rsid w:val="6A4B6507"/>
    <w:rsid w:val="6A983C9E"/>
    <w:rsid w:val="6AB40B96"/>
    <w:rsid w:val="6AC5023D"/>
    <w:rsid w:val="6AE2676D"/>
    <w:rsid w:val="6AE45311"/>
    <w:rsid w:val="6B1826C9"/>
    <w:rsid w:val="6B502A49"/>
    <w:rsid w:val="6B5A416A"/>
    <w:rsid w:val="6B5B2AB5"/>
    <w:rsid w:val="6BC9367B"/>
    <w:rsid w:val="6BD54BA0"/>
    <w:rsid w:val="6C170CE9"/>
    <w:rsid w:val="6C381F6C"/>
    <w:rsid w:val="6C5E34FC"/>
    <w:rsid w:val="6C68175D"/>
    <w:rsid w:val="6C6F66CD"/>
    <w:rsid w:val="6C733B88"/>
    <w:rsid w:val="6C805964"/>
    <w:rsid w:val="6CDC7267"/>
    <w:rsid w:val="6CE11AB4"/>
    <w:rsid w:val="6CF177EC"/>
    <w:rsid w:val="6D2165F7"/>
    <w:rsid w:val="6D316C97"/>
    <w:rsid w:val="6D3756A7"/>
    <w:rsid w:val="6D3A5286"/>
    <w:rsid w:val="6D7D2B30"/>
    <w:rsid w:val="6D814C77"/>
    <w:rsid w:val="6DA10A9B"/>
    <w:rsid w:val="6DBB7BE7"/>
    <w:rsid w:val="6DC72382"/>
    <w:rsid w:val="6DD85117"/>
    <w:rsid w:val="6DDF5568"/>
    <w:rsid w:val="6E031D4E"/>
    <w:rsid w:val="6E133E1A"/>
    <w:rsid w:val="6E215921"/>
    <w:rsid w:val="6E445DB5"/>
    <w:rsid w:val="6E602CD3"/>
    <w:rsid w:val="6E916E0D"/>
    <w:rsid w:val="6EB52905"/>
    <w:rsid w:val="6ED65DEF"/>
    <w:rsid w:val="6EDA2303"/>
    <w:rsid w:val="6F490CF7"/>
    <w:rsid w:val="6F6C327E"/>
    <w:rsid w:val="6F730143"/>
    <w:rsid w:val="6F73091F"/>
    <w:rsid w:val="6F8D6136"/>
    <w:rsid w:val="6FD06316"/>
    <w:rsid w:val="6FF05E6F"/>
    <w:rsid w:val="705101FD"/>
    <w:rsid w:val="70875703"/>
    <w:rsid w:val="708A4EA5"/>
    <w:rsid w:val="70A12B57"/>
    <w:rsid w:val="70BF5A3D"/>
    <w:rsid w:val="70C80B8C"/>
    <w:rsid w:val="70D6203F"/>
    <w:rsid w:val="70F14D54"/>
    <w:rsid w:val="711009CD"/>
    <w:rsid w:val="71447561"/>
    <w:rsid w:val="719C0834"/>
    <w:rsid w:val="71AE1682"/>
    <w:rsid w:val="71E24E74"/>
    <w:rsid w:val="72233072"/>
    <w:rsid w:val="722B3786"/>
    <w:rsid w:val="7235764F"/>
    <w:rsid w:val="7248391D"/>
    <w:rsid w:val="724B137E"/>
    <w:rsid w:val="72510502"/>
    <w:rsid w:val="72697592"/>
    <w:rsid w:val="726C11F2"/>
    <w:rsid w:val="72844B51"/>
    <w:rsid w:val="72B206BD"/>
    <w:rsid w:val="72D74012"/>
    <w:rsid w:val="72F02CC0"/>
    <w:rsid w:val="72FB0F83"/>
    <w:rsid w:val="734E116A"/>
    <w:rsid w:val="73667431"/>
    <w:rsid w:val="736960BE"/>
    <w:rsid w:val="73712D1D"/>
    <w:rsid w:val="7374767B"/>
    <w:rsid w:val="7394081C"/>
    <w:rsid w:val="73A60A98"/>
    <w:rsid w:val="73A809AB"/>
    <w:rsid w:val="73B87151"/>
    <w:rsid w:val="73C84AF1"/>
    <w:rsid w:val="73D0248B"/>
    <w:rsid w:val="73E543F1"/>
    <w:rsid w:val="741C31FE"/>
    <w:rsid w:val="74255DBC"/>
    <w:rsid w:val="74A873CF"/>
    <w:rsid w:val="74CD1369"/>
    <w:rsid w:val="74F15FA6"/>
    <w:rsid w:val="75120980"/>
    <w:rsid w:val="75344DD6"/>
    <w:rsid w:val="755400CB"/>
    <w:rsid w:val="75C631AD"/>
    <w:rsid w:val="75D91299"/>
    <w:rsid w:val="75E61286"/>
    <w:rsid w:val="761E2A0F"/>
    <w:rsid w:val="761F1611"/>
    <w:rsid w:val="76286912"/>
    <w:rsid w:val="7662033A"/>
    <w:rsid w:val="766F1295"/>
    <w:rsid w:val="767959A5"/>
    <w:rsid w:val="76E37168"/>
    <w:rsid w:val="76EB445C"/>
    <w:rsid w:val="76F45B2C"/>
    <w:rsid w:val="773360FD"/>
    <w:rsid w:val="773667CA"/>
    <w:rsid w:val="7764290E"/>
    <w:rsid w:val="777525E8"/>
    <w:rsid w:val="77A53A91"/>
    <w:rsid w:val="77AD04F8"/>
    <w:rsid w:val="77C5493D"/>
    <w:rsid w:val="77FA280C"/>
    <w:rsid w:val="784A4720"/>
    <w:rsid w:val="78523329"/>
    <w:rsid w:val="787B43BE"/>
    <w:rsid w:val="7891345B"/>
    <w:rsid w:val="78BC6E0E"/>
    <w:rsid w:val="790A55CE"/>
    <w:rsid w:val="79135220"/>
    <w:rsid w:val="79644DBB"/>
    <w:rsid w:val="79727548"/>
    <w:rsid w:val="797541BD"/>
    <w:rsid w:val="79786944"/>
    <w:rsid w:val="798949F8"/>
    <w:rsid w:val="799536B1"/>
    <w:rsid w:val="79996738"/>
    <w:rsid w:val="799B1D9B"/>
    <w:rsid w:val="79A539C4"/>
    <w:rsid w:val="79B54205"/>
    <w:rsid w:val="79F35FC6"/>
    <w:rsid w:val="79FD3E10"/>
    <w:rsid w:val="7A1B193B"/>
    <w:rsid w:val="7A44094B"/>
    <w:rsid w:val="7A6B0F87"/>
    <w:rsid w:val="7AA807E7"/>
    <w:rsid w:val="7AA81901"/>
    <w:rsid w:val="7AAF09F2"/>
    <w:rsid w:val="7ACF237D"/>
    <w:rsid w:val="7ADD21AD"/>
    <w:rsid w:val="7AE34FDC"/>
    <w:rsid w:val="7B0F6A6C"/>
    <w:rsid w:val="7B1E768D"/>
    <w:rsid w:val="7B82350D"/>
    <w:rsid w:val="7BCA1591"/>
    <w:rsid w:val="7BDD5F52"/>
    <w:rsid w:val="7BEB759B"/>
    <w:rsid w:val="7BF77051"/>
    <w:rsid w:val="7BFC67C7"/>
    <w:rsid w:val="7C846670"/>
    <w:rsid w:val="7CA87977"/>
    <w:rsid w:val="7D2772B9"/>
    <w:rsid w:val="7D610151"/>
    <w:rsid w:val="7D770BDF"/>
    <w:rsid w:val="7DA9474F"/>
    <w:rsid w:val="7DC56F24"/>
    <w:rsid w:val="7DCA4D35"/>
    <w:rsid w:val="7DE372DD"/>
    <w:rsid w:val="7DF75208"/>
    <w:rsid w:val="7DF87363"/>
    <w:rsid w:val="7DFC2463"/>
    <w:rsid w:val="7E0A1159"/>
    <w:rsid w:val="7E2F180F"/>
    <w:rsid w:val="7E6801AD"/>
    <w:rsid w:val="7E940EDA"/>
    <w:rsid w:val="7E9B0932"/>
    <w:rsid w:val="7EA306D8"/>
    <w:rsid w:val="7EA521BA"/>
    <w:rsid w:val="7EE435A9"/>
    <w:rsid w:val="7EE44A28"/>
    <w:rsid w:val="7F1A4FCB"/>
    <w:rsid w:val="7F2C22C8"/>
    <w:rsid w:val="7F3714DD"/>
    <w:rsid w:val="7FD553A5"/>
    <w:rsid w:val="7FE75B9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等线"/>
      <w:kern w:val="2"/>
      <w:sz w:val="21"/>
      <w:szCs w:val="21"/>
      <w:lang w:val="en-US" w:eastAsia="zh-CN" w:bidi="ar-SA"/>
    </w:rPr>
  </w:style>
  <w:style w:type="paragraph" w:styleId="4">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paragraph" w:styleId="5">
    <w:name w:val="heading 2"/>
    <w:basedOn w:val="1"/>
    <w:next w:val="1"/>
    <w:qFormat/>
    <w:locked/>
    <w:uiPriority w:val="0"/>
    <w:pPr>
      <w:keepNext/>
      <w:keepLines/>
      <w:spacing w:before="260" w:after="260" w:line="413" w:lineRule="auto"/>
      <w:outlineLvl w:val="1"/>
    </w:pPr>
    <w:rPr>
      <w:rFonts w:ascii="Arial" w:hAnsi="Arial" w:eastAsia="黑体"/>
      <w:b/>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line="276" w:lineRule="auto"/>
      <w:ind w:left="420" w:leftChars="200" w:firstLine="420" w:firstLineChars="200"/>
    </w:pPr>
    <w:rPr>
      <w:sz w:val="22"/>
    </w:rPr>
  </w:style>
  <w:style w:type="paragraph" w:styleId="3">
    <w:name w:val="Body Text Indent"/>
    <w:basedOn w:val="1"/>
    <w:qFormat/>
    <w:uiPriority w:val="99"/>
    <w:pPr>
      <w:spacing w:line="500" w:lineRule="exact"/>
      <w:ind w:left="1588" w:leftChars="832" w:firstLine="433" w:firstLineChars="196"/>
    </w:pPr>
  </w:style>
  <w:style w:type="paragraph" w:styleId="6">
    <w:name w:val="Normal Indent"/>
    <w:basedOn w:val="1"/>
    <w:qFormat/>
    <w:uiPriority w:val="0"/>
    <w:pPr>
      <w:ind w:firstLine="420" w:firstLineChars="200"/>
    </w:pPr>
  </w:style>
  <w:style w:type="paragraph" w:styleId="7">
    <w:name w:val="Document Map"/>
    <w:basedOn w:val="1"/>
    <w:link w:val="16"/>
    <w:semiHidden/>
    <w:qFormat/>
    <w:uiPriority w:val="99"/>
    <w:rPr>
      <w:rFonts w:ascii="宋体" w:eastAsia="宋体" w:cs="宋体"/>
      <w:sz w:val="18"/>
      <w:szCs w:val="18"/>
    </w:rPr>
  </w:style>
  <w:style w:type="paragraph" w:styleId="8">
    <w:name w:val="Body Text"/>
    <w:basedOn w:val="1"/>
    <w:qFormat/>
    <w:uiPriority w:val="99"/>
    <w:pPr>
      <w:jc w:val="center"/>
    </w:pPr>
    <w:rPr>
      <w:rFonts w:eastAsia="方正小标宋简体"/>
      <w:sz w:val="36"/>
    </w:rPr>
  </w:style>
  <w:style w:type="paragraph" w:styleId="9">
    <w:name w:val="Balloon Text"/>
    <w:basedOn w:val="1"/>
    <w:link w:val="17"/>
    <w:semiHidden/>
    <w:qFormat/>
    <w:uiPriority w:val="99"/>
    <w:rPr>
      <w:sz w:val="18"/>
      <w:szCs w:val="18"/>
    </w:rPr>
  </w:style>
  <w:style w:type="paragraph" w:styleId="10">
    <w:name w:val="footer"/>
    <w:basedOn w:val="1"/>
    <w:link w:val="18"/>
    <w:qFormat/>
    <w:uiPriority w:val="99"/>
    <w:pPr>
      <w:tabs>
        <w:tab w:val="center" w:pos="4153"/>
        <w:tab w:val="right" w:pos="8306"/>
      </w:tabs>
      <w:snapToGrid w:val="0"/>
      <w:jc w:val="left"/>
    </w:pPr>
    <w:rPr>
      <w:sz w:val="18"/>
      <w:szCs w:val="18"/>
    </w:rPr>
  </w:style>
  <w:style w:type="paragraph" w:styleId="11">
    <w:name w:val="header"/>
    <w:basedOn w:val="1"/>
    <w:link w:val="19"/>
    <w:semiHidden/>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qFormat/>
    <w:locked/>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99"/>
  </w:style>
  <w:style w:type="character" w:customStyle="1" w:styleId="16">
    <w:name w:val="文档结构图 Char"/>
    <w:basedOn w:val="14"/>
    <w:link w:val="7"/>
    <w:semiHidden/>
    <w:qFormat/>
    <w:locked/>
    <w:uiPriority w:val="99"/>
    <w:rPr>
      <w:rFonts w:ascii="宋体" w:hAnsi="等线" w:eastAsia="宋体" w:cs="宋体"/>
      <w:sz w:val="18"/>
      <w:szCs w:val="18"/>
    </w:rPr>
  </w:style>
  <w:style w:type="character" w:customStyle="1" w:styleId="17">
    <w:name w:val="批注框文本 Char"/>
    <w:basedOn w:val="14"/>
    <w:link w:val="9"/>
    <w:semiHidden/>
    <w:qFormat/>
    <w:locked/>
    <w:uiPriority w:val="99"/>
    <w:rPr>
      <w:rFonts w:ascii="等线" w:hAnsi="等线" w:eastAsia="等线" w:cs="等线"/>
      <w:sz w:val="18"/>
      <w:szCs w:val="18"/>
    </w:rPr>
  </w:style>
  <w:style w:type="character" w:customStyle="1" w:styleId="18">
    <w:name w:val="页脚 Char"/>
    <w:basedOn w:val="14"/>
    <w:link w:val="10"/>
    <w:qFormat/>
    <w:locked/>
    <w:uiPriority w:val="99"/>
    <w:rPr>
      <w:rFonts w:ascii="等线" w:hAnsi="等线" w:eastAsia="等线" w:cs="等线"/>
      <w:sz w:val="18"/>
      <w:szCs w:val="18"/>
    </w:rPr>
  </w:style>
  <w:style w:type="character" w:customStyle="1" w:styleId="19">
    <w:name w:val="页眉 Char"/>
    <w:basedOn w:val="14"/>
    <w:link w:val="11"/>
    <w:semiHidden/>
    <w:qFormat/>
    <w:locked/>
    <w:uiPriority w:val="99"/>
    <w:rPr>
      <w:rFonts w:ascii="等线" w:hAnsi="等线" w:eastAsia="等线" w:cs="等线"/>
      <w:sz w:val="18"/>
      <w:szCs w:val="18"/>
    </w:rPr>
  </w:style>
  <w:style w:type="paragraph" w:customStyle="1" w:styleId="20">
    <w:name w:val="正文 A"/>
    <w:qFormat/>
    <w:uiPriority w:val="99"/>
    <w:pPr>
      <w:framePr w:wrap="around" w:vAnchor="margin" w:hAnchor="text" w:yAlign="top"/>
      <w:widowControl w:val="0"/>
      <w:jc w:val="both"/>
    </w:pPr>
    <w:rPr>
      <w:rFonts w:ascii="等线" w:hAnsi="Times New Roman" w:eastAsia="等线" w:cs="等线"/>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488</Words>
  <Characters>2785</Characters>
  <Lines>23</Lines>
  <Paragraphs>6</Paragraphs>
  <TotalTime>6</TotalTime>
  <ScaleCrop>false</ScaleCrop>
  <LinksUpToDate>false</LinksUpToDate>
  <CharactersWithSpaces>3267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2020-04-22T09:27:00Z</dcterms:created>
  <dc:creator>1</dc:creator>
  <cp:lastModifiedBy>Administrator</cp:lastModifiedBy>
  <cp:lastPrinted>2021-04-14T02:20:00Z</cp:lastPrinted>
  <dcterms:modified xsi:type="dcterms:W3CDTF">2021-12-07T07:55:26Z</dcterms:modified>
  <dc:title>关于一季度全区招商引资运行情况的汇报</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D78F567DAF644C76B1E8E6804AFBA007</vt:lpwstr>
  </property>
</Properties>
</file>