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申请《烟花爆竹经营（零售）许可证》明白纸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一、申请《烟花爆竹经营（零售）许可证》需提交资料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（一）申请书（见附件1）；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（二）主要负责人、专职安全生产管理人员安全培训合格证书、身份证复印件；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（三）零售店（点）其他从业人员名单及经过培训证明；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（四）零售店（点）及其周边安全条件说明。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向区应急管理局（区政务服务大厅应急管理局窗口、区政府办公楼318办公室）提交申请资料。申请资料符合要求，区应急管理局予以受理；申请资料不符合要求，经整改后仍不满足要求的，向申请人说明情况，将申请资料予以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（二）区应急管理局工作人员依据《烟花爆竹零售店(点)安全技术规范检查表》（见附件2）组织现场审查。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（三）现场符合发证条件的予以发证，不符合发证条件的退回申请资料，向申请人说明情况。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（四）咨询电话：0531-76881125。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eastAsia="黑体"/>
          <w:snapToGrid w:val="0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钢城区烟花爆竹经营（</w:t>
      </w:r>
      <w:r>
        <w:rPr>
          <w:rFonts w:hint="eastAsia" w:ascii="黑体" w:eastAsia="黑体"/>
          <w:snapToGrid w:val="0"/>
          <w:sz w:val="40"/>
          <w:szCs w:val="40"/>
        </w:rPr>
        <w:t>零售）许可证申请</w:t>
      </w:r>
      <w:r>
        <w:rPr>
          <w:rFonts w:hint="eastAsia" w:ascii="黑体" w:eastAsia="黑体"/>
          <w:snapToGrid w:val="0"/>
          <w:sz w:val="40"/>
          <w:szCs w:val="40"/>
          <w:lang w:val="en-US" w:eastAsia="zh-CN"/>
        </w:rPr>
        <w:t>审查</w:t>
      </w:r>
      <w:r>
        <w:rPr>
          <w:rFonts w:hint="eastAsia" w:ascii="黑体" w:eastAsia="黑体"/>
          <w:snapToGrid w:val="0"/>
          <w:sz w:val="40"/>
          <w:szCs w:val="40"/>
        </w:rPr>
        <w:t>表</w:t>
      </w:r>
    </w:p>
    <w:tbl>
      <w:tblPr>
        <w:tblStyle w:val="4"/>
        <w:tblW w:w="97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670"/>
        <w:gridCol w:w="220"/>
        <w:gridCol w:w="1120"/>
        <w:gridCol w:w="760"/>
        <w:gridCol w:w="887"/>
        <w:gridCol w:w="273"/>
        <w:gridCol w:w="387"/>
        <w:gridCol w:w="476"/>
        <w:gridCol w:w="1143"/>
        <w:gridCol w:w="704"/>
        <w:gridCol w:w="180"/>
        <w:gridCol w:w="17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单位名称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napToGrid w:val="0"/>
                <w:lang w:eastAsia="zh-CN"/>
              </w:rPr>
              <w:t>）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联系电话</w:t>
            </w:r>
          </w:p>
        </w:tc>
        <w:tc>
          <w:tcPr>
            <w:tcW w:w="25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照  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（1寸彩色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免冠）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主要负责人姓名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身份证号</w:t>
            </w:r>
          </w:p>
        </w:tc>
        <w:tc>
          <w:tcPr>
            <w:tcW w:w="40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专职安全员姓名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身份证号</w:t>
            </w:r>
          </w:p>
        </w:tc>
        <w:tc>
          <w:tcPr>
            <w:tcW w:w="40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经营场所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地    址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从业人数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 xml:space="preserve">     人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零售场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所面积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 xml:space="preserve">         m</w:t>
            </w:r>
            <w:r>
              <w:rPr>
                <w:rFonts w:hint="eastAsia" w:ascii="仿宋_GB2312" w:hAnsi="仿宋_GB2312" w:eastAsia="仿宋_GB2312" w:cs="仿宋_GB2312"/>
                <w:snapToGrid w:val="0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见</w:t>
            </w:r>
          </w:p>
        </w:tc>
        <w:tc>
          <w:tcPr>
            <w:tcW w:w="853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720" w:firstLineChars="3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本单位（人）符合《烟花爆竹经营许可实施办法》规定的条件，并对以上情况和所提供文件、资料的真实性负责，申请办理烟花爆竹经营（零售）许可证。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>
            <w:pPr>
              <w:spacing w:line="324" w:lineRule="auto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 申请单位盖章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申请人签字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24" w:lineRule="auto"/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见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序号</w:t>
            </w:r>
          </w:p>
        </w:tc>
        <w:tc>
          <w:tcPr>
            <w:tcW w:w="597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审查内容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审查情况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1</w:t>
            </w:r>
          </w:p>
        </w:tc>
        <w:tc>
          <w:tcPr>
            <w:tcW w:w="597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在区政府划定的烟花爆竹禁放区以外，且与边缘距离大于3公里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2</w:t>
            </w:r>
          </w:p>
        </w:tc>
        <w:tc>
          <w:tcPr>
            <w:tcW w:w="597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符合全区烟花爆竹零售经营布点数量规划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3</w:t>
            </w:r>
          </w:p>
        </w:tc>
        <w:tc>
          <w:tcPr>
            <w:tcW w:w="597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主要负责人、专职安全员经过安全培训合格，其他从业人员经过安全知识教育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4</w:t>
            </w:r>
          </w:p>
        </w:tc>
        <w:tc>
          <w:tcPr>
            <w:tcW w:w="597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零售经营店（点）杜绝“下店上宅”、“前店后宅”。不位于居民集中居住小区内、桥下及涵洞内、地下及半地下室内、有易燃易爆物质管道的建筑内、电压高于1KV的电力线路下方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5</w:t>
            </w:r>
          </w:p>
        </w:tc>
        <w:tc>
          <w:tcPr>
            <w:tcW w:w="597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零售场所的面积不小于10平方米，且不应大于200平方米；其周边50米范围内没有其他烟花爆竹零售点，并与学校、幼儿园、医院、集贸市场等人员密集场所和加油站等易燃易爆物品生产、储存设施等重点建筑物保持100米以上的安全距离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>6</w:t>
            </w:r>
          </w:p>
        </w:tc>
        <w:tc>
          <w:tcPr>
            <w:tcW w:w="597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制定并张贴烟花爆竹零售经营安全责任制、安全管理制度和安全操作规程。配备必要的消防器材，张贴明显的安全警示标志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597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零售经营店（点）平面布置、建筑结构、消防和电器符合《烟花爆竹零售店（点）基本安全条件（暂行）》规定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5970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法律、法规规定的其他条件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3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审查人员（签字）：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区局科室负责人意见</w:t>
            </w:r>
          </w:p>
        </w:tc>
        <w:tc>
          <w:tcPr>
            <w:tcW w:w="3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napToGrid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科室负责</w:t>
            </w:r>
            <w:r>
              <w:rPr>
                <w:rFonts w:hint="eastAsia" w:ascii="仿宋_GB2312" w:hAnsi="仿宋_GB2312" w:eastAsia="仿宋_GB2312" w:cs="仿宋_GB2312"/>
                <w:snapToGrid w:val="0"/>
              </w:rPr>
              <w:t xml:space="preserve">人（签字）：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</w:rPr>
              <w:t xml:space="preserve">            年    月    日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区局分管负责人意见</w:t>
            </w: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napToGrid w:val="0"/>
              </w:rPr>
              <w:t>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napToGrid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napToGrid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100" w:firstLineChars="1000"/>
              <w:textAlignment w:val="auto"/>
              <w:rPr>
                <w:rFonts w:hint="eastAsia" w:ascii="仿宋_GB2312" w:hAnsi="仿宋_GB2312" w:eastAsia="仿宋_GB2312" w:cs="仿宋_GB2312"/>
                <w:snapToGrid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ascii="仿宋_GB2312" w:hAnsi="宋体" w:eastAsia="仿宋_GB2312"/>
          <w:b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烟花爆竹零售店（点）安全技术规范检查表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 xml:space="preserve">经营店名称： </w:t>
      </w:r>
      <w:r>
        <w:rPr>
          <w:rFonts w:hint="eastAsia" w:ascii="方正小标宋简体" w:hAnsi="方正小标宋简体" w:eastAsia="方正小标宋简体" w:cs="方正小标宋简体"/>
          <w:sz w:val="24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sz w:val="24"/>
        </w:rPr>
        <w:t xml:space="preserve"> 检查人员：          零售店</w:t>
      </w:r>
      <w:r>
        <w:rPr>
          <w:rFonts w:hint="eastAsia" w:ascii="方正小标宋简体" w:hAnsi="方正小标宋简体" w:eastAsia="方正小标宋简体" w:cs="方正小标宋简体"/>
          <w:sz w:val="24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sz w:val="24"/>
        </w:rPr>
        <w:t xml:space="preserve"> 零售点</w:t>
      </w:r>
      <w:r>
        <w:rPr>
          <w:rFonts w:hint="eastAsia" w:ascii="方正小标宋简体" w:hAnsi="方正小标宋简体" w:eastAsia="方正小标宋简体" w:cs="方正小标宋简体"/>
          <w:sz w:val="24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sz w:val="24"/>
        </w:rPr>
        <w:t xml:space="preserve">   </w:t>
      </w:r>
    </w:p>
    <w:tbl>
      <w:tblPr>
        <w:tblStyle w:val="5"/>
        <w:tblW w:w="972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176"/>
        <w:gridCol w:w="1135"/>
        <w:gridCol w:w="1623"/>
        <w:gridCol w:w="3103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项目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检查内容</w:t>
            </w:r>
          </w:p>
        </w:tc>
        <w:tc>
          <w:tcPr>
            <w:tcW w:w="3103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检查记录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hd w:val="clear" w:color="auto" w:fill="FFFFFF"/>
              </w:rPr>
              <w:t>选址与外部距离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1.烟花爆竹零售店、零售点应</w:t>
            </w:r>
            <w:r>
              <w:rPr>
                <w:rFonts w:hint="eastAsia" w:hAnsi="宋体"/>
              </w:rPr>
              <w:t>选择在消防车辆可以顺畅到达的区域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8" w:type="dxa"/>
            <w:vMerge w:val="continue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2.距离禁放区域满足3公里要求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8" w:type="dxa"/>
            <w:vMerge w:val="continue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34" w:type="dxa"/>
            <w:gridSpan w:val="3"/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color w:val="auto"/>
              </w:rPr>
              <w:t>烟花爆竹零售店、零售点不应设置在军事管理区、文物保护区、高速公路安全保护区、山林等重点防火区、大中型水库管理区、风景名胜区等禁止燃放烟花爆竹区域内</w:t>
            </w:r>
          </w:p>
        </w:tc>
        <w:tc>
          <w:tcPr>
            <w:tcW w:w="3103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68" w:type="dxa"/>
            <w:vMerge w:val="continue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34" w:type="dxa"/>
            <w:gridSpan w:val="3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.烟花爆竹零售店、零售点</w:t>
            </w:r>
            <w:r>
              <w:rPr>
                <w:rFonts w:hint="eastAsia" w:hAnsi="宋体"/>
              </w:rPr>
              <w:t>不应设置在居民集中居住小区内，不应设置在桥下及涵洞内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68" w:type="dxa"/>
            <w:vMerge w:val="continue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34" w:type="dxa"/>
            <w:gridSpan w:val="3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.烟花爆竹零售店、零售点</w:t>
            </w:r>
            <w:r>
              <w:rPr>
                <w:rFonts w:hint="eastAsia" w:hAnsi="宋体"/>
              </w:rPr>
              <w:t>不应与居住场所设置在同一建筑物内，不应设置在地下及半地下室内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68" w:type="dxa"/>
            <w:vMerge w:val="continue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34" w:type="dxa"/>
            <w:gridSpan w:val="3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.烟花爆竹零售店、零售点</w:t>
            </w:r>
            <w:r>
              <w:rPr>
                <w:rFonts w:hint="eastAsia" w:hAnsi="宋体"/>
              </w:rPr>
              <w:t>不应设置在其地下、室内或上方有输送石油、天然气等易燃易爆物质管道的建筑物内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68" w:type="dxa"/>
            <w:vMerge w:val="continue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34" w:type="dxa"/>
            <w:gridSpan w:val="3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.烟花爆竹零售店、零售点</w:t>
            </w:r>
            <w:r>
              <w:rPr>
                <w:rFonts w:hint="eastAsia" w:hAnsi="宋体"/>
              </w:rPr>
              <w:t>不应设置在电压高于1kV的电力线路下方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68" w:type="dxa"/>
            <w:vMerge w:val="continue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34" w:type="dxa"/>
            <w:gridSpan w:val="3"/>
            <w:vAlign w:val="top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.烟花爆竹零售店、零售点与220kV及以上的区域变电站围墙，220kV以上的架空输电线路不少于（80KG，50米；100KG，60米；200KG，65米；300KG，70米）</w:t>
            </w: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68" w:type="dxa"/>
            <w:vMerge w:val="continue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34" w:type="dxa"/>
            <w:gridSpan w:val="3"/>
            <w:vAlign w:val="top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.烟花爆竹零售店、零售点与学校，医院，幼儿园，养老院，集贸市场，文物古迹，博物馆，展览馆，档案馆，图书馆，危险品生产、储存及加油站、加气站等易燃易爆场所边缘不少于100米</w:t>
            </w: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68" w:type="dxa"/>
            <w:vMerge w:val="continue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34" w:type="dxa"/>
            <w:gridSpan w:val="3"/>
            <w:vAlign w:val="top"/>
          </w:tcPr>
          <w:p>
            <w:pPr>
              <w:rPr>
                <w:rFonts w:hint="eastAsia" w:ascii="宋体" w:hAnsi="宋体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</w:rPr>
              <w:t>.烟花爆竹零售店、零售点与其他烟花爆竹零售店、零售点不少于50米</w:t>
            </w:r>
          </w:p>
        </w:tc>
        <w:tc>
          <w:tcPr>
            <w:tcW w:w="310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68" w:type="dxa"/>
            <w:vMerge w:val="restart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hd w:val="clear" w:color="auto" w:fill="FFFFFF"/>
              </w:rPr>
              <w:t>面积与存放限量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hAnsi="宋体"/>
              </w:rPr>
              <w:t>1.烟花爆竹零售店、零售点的使用面积不应小于</w:t>
            </w:r>
            <w:r>
              <w:rPr>
                <w:rFonts w:hAnsi="宋体"/>
              </w:rPr>
              <w:t>10m</w:t>
            </w:r>
            <w:r>
              <w:rPr>
                <w:rFonts w:hAnsi="宋体"/>
                <w:vertAlign w:val="superscript"/>
              </w:rPr>
              <w:t>2</w:t>
            </w:r>
            <w:r>
              <w:rPr>
                <w:rFonts w:hint="eastAsia" w:hAnsi="宋体"/>
              </w:rPr>
              <w:t>，且不应大于</w:t>
            </w:r>
            <w:r>
              <w:rPr>
                <w:rFonts w:hAnsi="宋体"/>
              </w:rPr>
              <w:t>200m</w:t>
            </w:r>
            <w:r>
              <w:rPr>
                <w:rFonts w:hAnsi="宋体"/>
                <w:vertAlign w:val="superscript"/>
              </w:rPr>
              <w:t>2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hAnsi="宋体"/>
              </w:rPr>
              <w:t>2.专柜销售烟花爆竹的商店，总建筑面积不应大于300m</w:t>
            </w:r>
            <w:r>
              <w:rPr>
                <w:rFonts w:hAnsi="宋体"/>
                <w:vertAlign w:val="superscript"/>
              </w:rPr>
              <w:t>2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hAnsi="宋体"/>
              </w:rPr>
              <w:t>3.</w:t>
            </w:r>
            <w:r>
              <w:rPr>
                <w:rFonts w:hAnsi="宋体"/>
              </w:rPr>
              <w:t>烟花爆竹零售店</w:t>
            </w:r>
            <w:r>
              <w:rPr>
                <w:rFonts w:hint="eastAsia" w:hAnsi="宋体"/>
              </w:rPr>
              <w:t>、</w:t>
            </w:r>
            <w:r>
              <w:rPr>
                <w:rFonts w:hAnsi="宋体"/>
              </w:rPr>
              <w:t>零售点</w:t>
            </w:r>
            <w:r>
              <w:rPr>
                <w:rFonts w:hint="eastAsia" w:hAnsi="宋体"/>
              </w:rPr>
              <w:t>专店烟花爆竹的总药量不应超过</w:t>
            </w:r>
            <w:r>
              <w:rPr>
                <w:rFonts w:hAnsi="宋体"/>
              </w:rPr>
              <w:t>300kg</w:t>
            </w:r>
            <w:r>
              <w:rPr>
                <w:rFonts w:hint="eastAsia" w:hAnsi="宋体"/>
              </w:rPr>
              <w:t>，专柜不应超过100kg；烟花爆竹总箱数：专店不应超过</w:t>
            </w:r>
            <w:r>
              <w:rPr>
                <w:rFonts w:hAnsi="宋体"/>
              </w:rPr>
              <w:t>300</w:t>
            </w:r>
            <w:r>
              <w:rPr>
                <w:rFonts w:hint="eastAsia" w:hAnsi="宋体"/>
              </w:rPr>
              <w:t>箱，专柜不应超过</w:t>
            </w:r>
            <w:r>
              <w:rPr>
                <w:rFonts w:hAnsi="宋体"/>
              </w:rPr>
              <w:t>1</w:t>
            </w:r>
            <w:r>
              <w:rPr>
                <w:rFonts w:hint="eastAsia" w:hAnsi="宋体"/>
              </w:rPr>
              <w:t>0</w:t>
            </w:r>
            <w:r>
              <w:rPr>
                <w:rFonts w:hAnsi="宋体"/>
              </w:rPr>
              <w:t>0</w:t>
            </w:r>
            <w:r>
              <w:rPr>
                <w:rFonts w:hint="eastAsia" w:hAnsi="宋体"/>
              </w:rPr>
              <w:t>箱</w:t>
            </w: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项目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检查内容</w:t>
            </w:r>
          </w:p>
        </w:tc>
        <w:tc>
          <w:tcPr>
            <w:tcW w:w="3103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检查记录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面积与存放限量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4.零售场所使用面积与总药量和总箱数不超下表</w:t>
            </w:r>
          </w:p>
        </w:tc>
        <w:tc>
          <w:tcPr>
            <w:tcW w:w="3103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仿宋" w:hAnsi="仿宋" w:eastAsia="仿宋_GB2312" w:cs="仿宋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面积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总药量</w:t>
            </w:r>
          </w:p>
        </w:tc>
        <w:tc>
          <w:tcPr>
            <w:tcW w:w="16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总箱数</w:t>
            </w:r>
          </w:p>
        </w:tc>
        <w:tc>
          <w:tcPr>
            <w:tcW w:w="31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10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50</w:t>
            </w:r>
          </w:p>
        </w:tc>
        <w:tc>
          <w:tcPr>
            <w:tcW w:w="16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50</w:t>
            </w:r>
          </w:p>
        </w:tc>
        <w:tc>
          <w:tcPr>
            <w:tcW w:w="31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&gt;10且≤15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70</w:t>
            </w:r>
          </w:p>
        </w:tc>
        <w:tc>
          <w:tcPr>
            <w:tcW w:w="16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70</w:t>
            </w:r>
          </w:p>
        </w:tc>
        <w:tc>
          <w:tcPr>
            <w:tcW w:w="31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&gt;15且≤25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100</w:t>
            </w:r>
          </w:p>
        </w:tc>
        <w:tc>
          <w:tcPr>
            <w:tcW w:w="16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100</w:t>
            </w:r>
          </w:p>
        </w:tc>
        <w:tc>
          <w:tcPr>
            <w:tcW w:w="31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&gt;25且≤35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140</w:t>
            </w:r>
          </w:p>
        </w:tc>
        <w:tc>
          <w:tcPr>
            <w:tcW w:w="16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140</w:t>
            </w:r>
          </w:p>
        </w:tc>
        <w:tc>
          <w:tcPr>
            <w:tcW w:w="31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&gt;35且≤50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190</w:t>
            </w:r>
          </w:p>
        </w:tc>
        <w:tc>
          <w:tcPr>
            <w:tcW w:w="16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190</w:t>
            </w:r>
          </w:p>
        </w:tc>
        <w:tc>
          <w:tcPr>
            <w:tcW w:w="31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&gt;50且≤70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250</w:t>
            </w:r>
          </w:p>
        </w:tc>
        <w:tc>
          <w:tcPr>
            <w:tcW w:w="16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250</w:t>
            </w:r>
          </w:p>
        </w:tc>
        <w:tc>
          <w:tcPr>
            <w:tcW w:w="31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&gt;70且≤200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300</w:t>
            </w:r>
          </w:p>
        </w:tc>
        <w:tc>
          <w:tcPr>
            <w:tcW w:w="162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shd w:val="clear" w:color="auto" w:fill="FFFFFF"/>
              </w:rPr>
              <w:t>300</w:t>
            </w:r>
          </w:p>
        </w:tc>
        <w:tc>
          <w:tcPr>
            <w:tcW w:w="310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平面布置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1.烟花爆竹零售店、零售点建筑物与其他场所联建时应符合如下要求：a)</w:t>
            </w:r>
            <w:r>
              <w:rPr>
                <w:rFonts w:hint="eastAsia" w:hAnsi="宋体"/>
              </w:rPr>
              <w:t xml:space="preserve">零售场所与其他房间之间不应有楼梯或洞口相通； </w:t>
            </w:r>
            <w:r>
              <w:rPr>
                <w:rFonts w:hAnsi="宋体"/>
              </w:rPr>
              <w:t>b</w:t>
            </w:r>
            <w:r>
              <w:rPr>
                <w:rFonts w:hint="eastAsia" w:hAnsi="宋体"/>
              </w:rPr>
              <w:t>)零售场所正上方房间不应作为营业场所，不应作为培训教室、会议室，不应有人员留宿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2.烟花爆竹零售场所不应作为其他生产、经营和生活等场所的进出通道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3.</w:t>
            </w:r>
            <w:r>
              <w:t>烟花爆竹</w:t>
            </w:r>
            <w:r>
              <w:rPr>
                <w:rFonts w:hint="eastAsia"/>
              </w:rPr>
              <w:t>零售店、</w:t>
            </w:r>
            <w:r>
              <w:t>零售点采用临时建筑物时</w:t>
            </w:r>
            <w:r>
              <w:rPr>
                <w:rFonts w:hint="eastAsia"/>
              </w:rPr>
              <w:t>，应独立设置。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4.烟花爆竹零售店、零售点内平面布置，应本着有利于经营安全原则。</w:t>
            </w:r>
          </w:p>
        </w:tc>
        <w:tc>
          <w:tcPr>
            <w:tcW w:w="3103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5.烟花爆竹存放区和销售柜台应分区布置，并保证安全疏散通道畅通</w:t>
            </w:r>
          </w:p>
        </w:tc>
        <w:tc>
          <w:tcPr>
            <w:tcW w:w="3103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6.烟花爆竹零售店、零售点内不应设置床铺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7.专柜销售的内部平面布置，还应符合如下要求：a)</w:t>
            </w:r>
            <w:r>
              <w:rPr>
                <w:rFonts w:hint="eastAsia" w:hAnsi="宋体"/>
              </w:rPr>
              <w:t>所在商店内不应存放其他易燃易爆危险物品;b)</w:t>
            </w:r>
            <w:r>
              <w:rPr>
                <w:rFonts w:hAnsi="宋体"/>
              </w:rPr>
              <w:t>设置在</w:t>
            </w:r>
            <w:r>
              <w:rPr>
                <w:rFonts w:hint="eastAsia" w:hAnsi="宋体"/>
              </w:rPr>
              <w:t>商店的侧边且相对独立，烟花爆竹与其他商品之间距离不应小于</w:t>
            </w:r>
            <w:r>
              <w:rPr>
                <w:rFonts w:hAnsi="宋体"/>
              </w:rPr>
              <w:t>0.7m</w:t>
            </w:r>
            <w:r>
              <w:rPr>
                <w:rFonts w:hint="eastAsia" w:hAnsi="宋体"/>
              </w:rPr>
              <w:t>;c)商店内最远人员活动点至外部出口的距离大于8m时，与其他商品销售场所之间设不燃材料密实隔断，且隔断至房间屋面板（或楼板）的底面基层。d)其他商品销售场所的安全疏散通道不应通过专柜，且不应影响安全疏散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建筑结构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1.烟花爆竹零售店</w:t>
            </w:r>
            <w:r>
              <w:rPr>
                <w:rFonts w:hint="eastAsia" w:hAnsi="宋体"/>
              </w:rPr>
              <w:t>建筑物可采用现浇钢筋混凝土框架结构，也可采用钢筋混凝土柱、梁承重结构、砌体承重结构、钢架结构等，也可采用拼接式板房、产品储存仓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2.烟花爆竹零售店建筑物的耐火等级应符合</w:t>
            </w:r>
            <w:r>
              <w:t>GB 50016</w:t>
            </w:r>
            <w:r>
              <w:rPr>
                <w:rFonts w:hint="eastAsia"/>
              </w:rPr>
              <w:t>的规定，且不应低于三级。当建筑物独立设置且与其他建筑物相距超过12m时，其耐火等级可为四级</w:t>
            </w:r>
          </w:p>
        </w:tc>
        <w:tc>
          <w:tcPr>
            <w:tcW w:w="3103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项目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检查内容</w:t>
            </w:r>
          </w:p>
        </w:tc>
        <w:tc>
          <w:tcPr>
            <w:tcW w:w="3103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检查记录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建筑结构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/>
              </w:rPr>
              <w:t>3.烟花爆竹零售店</w:t>
            </w:r>
            <w:r>
              <w:rPr>
                <w:rFonts w:hint="eastAsia" w:hAnsi="宋体"/>
              </w:rPr>
              <w:t>与其</w:t>
            </w:r>
            <w:r>
              <w:rPr>
                <w:rFonts w:hint="eastAsia"/>
              </w:rPr>
              <w:t>他场所联建时，其隔墙应为厚度不小于</w:t>
            </w:r>
            <w:r>
              <w:t>18</w:t>
            </w:r>
            <w:r>
              <w:rPr>
                <w:rFonts w:hint="eastAsia"/>
              </w:rPr>
              <w:t>0m</w:t>
            </w:r>
            <w:r>
              <w:t>m</w:t>
            </w:r>
            <w:r>
              <w:rPr>
                <w:rFonts w:hint="eastAsia"/>
              </w:rPr>
              <w:t>的密实砖墙或耐火极限不低于</w:t>
            </w:r>
            <w:r>
              <w:t>3.00h</w:t>
            </w:r>
            <w:r>
              <w:rPr>
                <w:rFonts w:hint="eastAsia"/>
              </w:rPr>
              <w:t>的其他密实墙，隔墙上不应设置门窗和洞口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4.烟花爆竹零售店</w:t>
            </w:r>
            <w:r>
              <w:rPr>
                <w:rFonts w:hint="eastAsia" w:hAnsi="宋体"/>
              </w:rPr>
              <w:t>外墙</w:t>
            </w:r>
            <w:r>
              <w:rPr>
                <w:rFonts w:hint="eastAsia"/>
              </w:rPr>
              <w:t>门窗等洞口与其正上方房间对应开口之间应设置高度不小于</w:t>
            </w:r>
            <w:r>
              <w:t>1.2m</w:t>
            </w:r>
            <w:r>
              <w:rPr>
                <w:rFonts w:hint="eastAsia"/>
              </w:rPr>
              <w:t>的实体墙，或挑出宽度不小于</w:t>
            </w:r>
            <w:r>
              <w:t>1m</w:t>
            </w:r>
            <w:r>
              <w:rPr>
                <w:rFonts w:hint="eastAsia"/>
              </w:rPr>
              <w:t>、长度不小于开口宽度的防火挑檐，或安装挑出宽度不小于</w:t>
            </w:r>
            <w:r>
              <w:t>1m</w:t>
            </w:r>
            <w:r>
              <w:rPr>
                <w:rFonts w:hint="eastAsia"/>
              </w:rPr>
              <w:t>、长度不小于开口宽度的不燃材料制作的雨搭。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5.烟花爆竹零售</w:t>
            </w:r>
            <w:r>
              <w:rPr>
                <w:rFonts w:hint="eastAsia"/>
                <w:lang w:val="en-US" w:eastAsia="zh-CN"/>
              </w:rPr>
              <w:t>店</w:t>
            </w:r>
            <w:r>
              <w:rPr>
                <w:rFonts w:hint="eastAsia" w:hAnsi="宋体"/>
              </w:rPr>
              <w:t>安全出口应通畅。建筑面积不大于</w:t>
            </w:r>
            <w:r>
              <w:rPr>
                <w:rFonts w:hAnsi="宋体"/>
              </w:rPr>
              <w:t>100m</w:t>
            </w:r>
            <w:r>
              <w:rPr>
                <w:rFonts w:hAnsi="宋体"/>
                <w:vertAlign w:val="superscript"/>
              </w:rPr>
              <w:t>2</w:t>
            </w:r>
            <w:r>
              <w:rPr>
                <w:rFonts w:hint="eastAsia" w:hAnsi="宋体"/>
              </w:rPr>
              <w:t>时，可设</w:t>
            </w:r>
            <w:r>
              <w:rPr>
                <w:rFonts w:hAnsi="宋体"/>
              </w:rPr>
              <w:t>1</w:t>
            </w:r>
            <w:r>
              <w:rPr>
                <w:rFonts w:hint="eastAsia" w:hAnsi="宋体"/>
              </w:rPr>
              <w:t>个安全出口；建筑面积大于</w:t>
            </w:r>
            <w:r>
              <w:rPr>
                <w:rFonts w:hAnsi="宋体"/>
              </w:rPr>
              <w:t>100m</w:t>
            </w:r>
            <w:r>
              <w:rPr>
                <w:rFonts w:hAnsi="宋体"/>
                <w:vertAlign w:val="superscript"/>
              </w:rPr>
              <w:t>2</w:t>
            </w:r>
            <w:r>
              <w:rPr>
                <w:rFonts w:hint="eastAsia" w:hAnsi="宋体"/>
              </w:rPr>
              <w:t>时，安全出口不应少于</w:t>
            </w:r>
            <w:r>
              <w:rPr>
                <w:rFonts w:hAnsi="宋体"/>
              </w:rPr>
              <w:t>2</w:t>
            </w:r>
            <w:r>
              <w:rPr>
                <w:rFonts w:hint="eastAsia" w:hAnsi="宋体"/>
              </w:rPr>
              <w:t>个；店内任一点至安全出口的距离不应大于15m；顾客进出的门宽不应小于1.5m。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6.烟花爆竹零售</w:t>
            </w:r>
            <w:r>
              <w:rPr>
                <w:rFonts w:hint="eastAsia"/>
                <w:lang w:val="en-US" w:eastAsia="zh-CN"/>
              </w:rPr>
              <w:t>店</w:t>
            </w:r>
            <w:r>
              <w:rPr>
                <w:rFonts w:hint="eastAsia" w:hAnsi="宋体"/>
              </w:rPr>
              <w:t>安全疏散门宜采用向外开启的平开门。采用其他形式的门时，应符合安全疏散要求。</w:t>
            </w:r>
          </w:p>
        </w:tc>
        <w:tc>
          <w:tcPr>
            <w:tcW w:w="3103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7.烟花爆竹零售</w:t>
            </w:r>
            <w:r>
              <w:rPr>
                <w:rFonts w:hint="eastAsia"/>
                <w:lang w:val="en-US" w:eastAsia="zh-CN"/>
              </w:rPr>
              <w:t>店</w:t>
            </w:r>
            <w:r>
              <w:rPr>
                <w:rFonts w:hint="eastAsia" w:hAnsi="宋体"/>
              </w:rPr>
              <w:t>搬运烟花爆竹进出的门宽不宜小于1.2m。</w:t>
            </w:r>
          </w:p>
        </w:tc>
        <w:tc>
          <w:tcPr>
            <w:tcW w:w="3103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="156" w:after="156"/>
              <w:outlineLvl w:val="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eastAsia="宋体"/>
              </w:rPr>
              <w:t>8.烟花爆竹零售点可采用</w:t>
            </w:r>
            <w:r>
              <w:rPr>
                <w:rFonts w:ascii="宋体" w:eastAsia="宋体"/>
              </w:rPr>
              <w:t>符合</w:t>
            </w:r>
            <w:r>
              <w:rPr>
                <w:rFonts w:hint="eastAsia" w:ascii="宋体" w:eastAsia="宋体"/>
              </w:rPr>
              <w:t>本条第1-4条要求的固定建筑物，也可采用拼接式板房或产品储存仓等临时建筑物。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9.烟花爆竹零售点临时建筑物为</w:t>
            </w:r>
            <w:r>
              <w:rPr>
                <w:rFonts w:hint="eastAsia" w:hAnsi="宋体"/>
              </w:rPr>
              <w:t>板式结构时，宜采用板厚不小于</w:t>
            </w:r>
            <w:r>
              <w:rPr>
                <w:rFonts w:hAnsi="宋体"/>
              </w:rPr>
              <w:t>50mm</w:t>
            </w:r>
            <w:r>
              <w:rPr>
                <w:rFonts w:hint="eastAsia" w:hAnsi="宋体"/>
              </w:rPr>
              <w:t>的彩钢岩棉夹芯板做墙面和屋面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10.烟花爆竹零售点临时建筑物为</w:t>
            </w:r>
            <w:r>
              <w:rPr>
                <w:rFonts w:hint="eastAsia" w:hAnsi="宋体"/>
              </w:rPr>
              <w:t>搭棚形式时，搭建材料应为不燃或难燃材料，棚的两侧及后侧应密实围护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11.烟花爆竹零售点</w:t>
            </w:r>
            <w:r>
              <w:rPr>
                <w:rFonts w:hAnsi="宋体"/>
              </w:rPr>
              <w:t>门的设置符合</w:t>
            </w:r>
            <w:r>
              <w:rPr>
                <w:rFonts w:hint="eastAsia" w:hAnsi="宋体"/>
              </w:rPr>
              <w:t>第5、6、7条的要求</w:t>
            </w:r>
          </w:p>
        </w:tc>
        <w:tc>
          <w:tcPr>
            <w:tcW w:w="3103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6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</w:rPr>
              <w:t>12.烟花爆竹零售点</w:t>
            </w:r>
            <w:r>
              <w:rPr>
                <w:rFonts w:hint="eastAsia" w:hAnsi="宋体"/>
              </w:rPr>
              <w:t>应能承受当地的风载荷或雪载荷，有可靠的防止雨水浸入的措施</w:t>
            </w:r>
          </w:p>
        </w:tc>
        <w:tc>
          <w:tcPr>
            <w:tcW w:w="3103" w:type="dxa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/>
              </w:rPr>
              <w:t>13.产品储存仓应满足如下要求：a)</w:t>
            </w:r>
            <w:r>
              <w:rPr>
                <w:rFonts w:hint="eastAsia"/>
              </w:rPr>
              <w:t>有泄压面，</w:t>
            </w:r>
            <w:r>
              <w:t>泄压面积不应小于</w:t>
            </w:r>
            <w:r>
              <w:rPr>
                <w:rFonts w:hint="eastAsia"/>
              </w:rPr>
              <w:t>1m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；b)结构和填充材料应为不燃材料，结构强度应符合有关国家标准规定；c)与其他建筑物相邻布置时，相邻一侧的围护结构不应留门窗和洞口，其耐火极限不应低于</w:t>
            </w:r>
            <w:r>
              <w:t>3.00h</w:t>
            </w:r>
            <w:r>
              <w:rPr>
                <w:rFonts w:hint="eastAsia"/>
              </w:rPr>
              <w:t>；d)</w:t>
            </w:r>
            <w:r>
              <w:t>应采取防止漏雨及</w:t>
            </w:r>
            <w:r>
              <w:rPr>
                <w:rFonts w:hint="eastAsia"/>
              </w:rPr>
              <w:t>防止烟花爆竹</w:t>
            </w:r>
            <w:r>
              <w:t>受潮的措施</w:t>
            </w:r>
            <w:r>
              <w:rPr>
                <w:rFonts w:hint="eastAsia"/>
              </w:rPr>
              <w:t>；</w:t>
            </w:r>
            <w:r>
              <w:t>安装稳定性</w:t>
            </w:r>
            <w:r>
              <w:rPr>
                <w:rFonts w:hint="eastAsia"/>
              </w:rPr>
              <w:t>良好。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项目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检查内容</w:t>
            </w:r>
          </w:p>
        </w:tc>
        <w:tc>
          <w:tcPr>
            <w:tcW w:w="3103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检查记录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消防与电气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</w:rPr>
              <w:t>1.烟花爆竹零售店、零售点内严禁有明火。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</w:rPr>
              <w:t>2.烟花爆竹零售店、零售点不应采用产生明火和有强热辐射的采暖设备，且烟花爆竹与采暖设备的距离不应小于</w:t>
            </w:r>
            <w:r>
              <w:t>30</w:t>
            </w:r>
            <w:r>
              <w:rPr>
                <w:rFonts w:hint="eastAsia"/>
              </w:rPr>
              <w:t>0m</w:t>
            </w:r>
            <w:r>
              <w:t>m</w:t>
            </w:r>
            <w:r>
              <w:rPr>
                <w:rFonts w:hint="eastAsia"/>
              </w:rPr>
              <w:t>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</w:rPr>
              <w:t>3.烟花爆竹零售店、零售点周围25m范围内若有明火或散发火花地点，两者之间应有不燃材料实体隔挡。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</w:rPr>
              <w:t>4.烟花爆竹零售店、零售点</w:t>
            </w:r>
            <w:r>
              <w:t>应配备5kg</w:t>
            </w:r>
            <w:r>
              <w:rPr>
                <w:rFonts w:hint="eastAsia"/>
              </w:rPr>
              <w:t>及以上的磷酸铵盐干粉灭火器，放置在便于取用位置。使</w:t>
            </w:r>
            <w:r>
              <w:t>用面积不大于</w:t>
            </w:r>
            <w:r>
              <w:rPr>
                <w:rFonts w:hint="eastAsia"/>
              </w:rPr>
              <w:t>100m</w:t>
            </w:r>
            <w:r>
              <w:rPr>
                <w:vertAlign w:val="superscript"/>
              </w:rPr>
              <w:t>2</w:t>
            </w:r>
            <w:r>
              <w:t>时</w:t>
            </w:r>
            <w:r>
              <w:rPr>
                <w:rFonts w:hint="eastAsia"/>
              </w:rPr>
              <w:t>，应至少配备</w:t>
            </w:r>
            <w:r>
              <w:t>2</w:t>
            </w:r>
            <w:r>
              <w:rPr>
                <w:rFonts w:hint="eastAsia"/>
              </w:rPr>
              <w:t>具；使</w:t>
            </w:r>
            <w:r>
              <w:t>用面积大于</w:t>
            </w:r>
            <w:r>
              <w:rPr>
                <w:rFonts w:hint="eastAsia"/>
              </w:rPr>
              <w:t>100m</w:t>
            </w:r>
            <w:r>
              <w:rPr>
                <w:vertAlign w:val="superscript"/>
              </w:rPr>
              <w:t>2</w:t>
            </w:r>
            <w:r>
              <w:t>时</w:t>
            </w:r>
            <w:r>
              <w:rPr>
                <w:rFonts w:hint="eastAsia"/>
              </w:rPr>
              <w:t>，应至少配备</w:t>
            </w:r>
            <w:r>
              <w:t>4</w:t>
            </w:r>
            <w:r>
              <w:rPr>
                <w:rFonts w:hint="eastAsia"/>
              </w:rPr>
              <w:t>具且分为2个设置点。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</w:rPr>
              <w:t>5.零售场所的电气线路不应有明接头。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</w:rPr>
              <w:t>6.室内电气线路可采用普通导线穿钢管敷设，也可采用带有阻燃护套电缆或阻燃型绝缘导线。线路接头处可采用防护等级不低于</w:t>
            </w:r>
            <w:r>
              <w:t>IP54</w:t>
            </w:r>
            <w:r>
              <w:rPr>
                <w:rFonts w:hint="eastAsia"/>
              </w:rPr>
              <w:t>的接线盒。</w:t>
            </w:r>
          </w:p>
        </w:tc>
        <w:tc>
          <w:tcPr>
            <w:tcW w:w="3103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8"/>
              <w:widowControl w:val="0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</w:rPr>
              <w:t>7.用电设备、照明灯具、开关及插座宜采用可燃性粉尘环境用电气设备22区DIP22、IP54。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</w:rPr>
              <w:t>8.当采用普通电气设备时，应与烟花爆竹保持不小于</w:t>
            </w:r>
            <w:r>
              <w:t>1.2m</w:t>
            </w:r>
            <w:r>
              <w:rPr>
                <w:rFonts w:hint="eastAsia"/>
              </w:rPr>
              <w:t>的水平投影距离，且不应使用白炽灯、射灯等容易产生高温的灯具。</w:t>
            </w:r>
          </w:p>
        </w:tc>
        <w:tc>
          <w:tcPr>
            <w:tcW w:w="3103" w:type="dxa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915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经营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行为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宋体" w:hAnsi="宋体" w:eastAsia="宋体" w:cs="仿宋_GB2312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1.烟花</w:t>
            </w:r>
            <w:r>
              <w:rPr>
                <w:rFonts w:hint="eastAsia" w:ascii="宋体" w:hAnsi="宋体" w:eastAsia="宋体"/>
              </w:rPr>
              <w:t>爆竹零售店、零售点仅允许零售符合GB 10631规定的个人燃放类产品，</w:t>
            </w:r>
            <w:r>
              <w:rPr>
                <w:rFonts w:hint="eastAsia" w:ascii="宋体" w:hAnsi="宋体" w:eastAsia="宋体"/>
                <w:szCs w:val="22"/>
              </w:rPr>
              <w:t xml:space="preserve">不得销售超标、违禁或者非法的烟花爆竹。 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  <w:szCs w:val="22"/>
              </w:rPr>
              <w:t>2.不应在许可证载明的场所外销售、存放烟花爆竹，不应在店外随意摆放烟花爆竹。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  <w:szCs w:val="22"/>
              </w:rPr>
              <w:t>3.不应在零售场所外</w:t>
            </w:r>
            <w:r>
              <w:rPr>
                <w:rFonts w:ascii="宋体" w:hAnsi="宋体" w:eastAsia="宋体"/>
                <w:szCs w:val="22"/>
              </w:rPr>
              <w:t>3</w:t>
            </w:r>
            <w:r>
              <w:rPr>
                <w:rFonts w:hint="eastAsia" w:ascii="宋体" w:hAnsi="宋体" w:eastAsia="宋体"/>
                <w:szCs w:val="22"/>
              </w:rPr>
              <w:t>0m范围内燃放爆竹等地面类产品，不应在零售场所外8</w:t>
            </w:r>
            <w:r>
              <w:rPr>
                <w:rFonts w:ascii="宋体" w:hAnsi="宋体" w:eastAsia="宋体"/>
                <w:szCs w:val="22"/>
              </w:rPr>
              <w:t>0m范围内燃放</w:t>
            </w:r>
            <w:r>
              <w:rPr>
                <w:rFonts w:hint="eastAsia" w:ascii="宋体" w:hAnsi="宋体" w:eastAsia="宋体"/>
                <w:szCs w:val="22"/>
              </w:rPr>
              <w:t>组合烟花等升空类产品。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  <w:szCs w:val="22"/>
              </w:rPr>
              <w:t>4.在零售场所醒目位置设置“严禁烟火”、“易燃易爆”以及周边设置“严禁燃放烟花爆竹”等安全警示标识。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  <w:szCs w:val="22"/>
              </w:rPr>
              <w:t>5.烟花爆竹的堆放应稳固，堆放高度不应超过</w:t>
            </w:r>
            <w:r>
              <w:rPr>
                <w:rFonts w:ascii="宋体" w:hAnsi="宋体" w:eastAsia="宋体"/>
                <w:szCs w:val="22"/>
              </w:rPr>
              <w:t>2.0m</w:t>
            </w:r>
            <w:r>
              <w:rPr>
                <w:rFonts w:hint="eastAsia" w:ascii="宋体" w:hAnsi="宋体" w:eastAsia="宋体"/>
                <w:szCs w:val="22"/>
              </w:rPr>
              <w:t>。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  <w:szCs w:val="22"/>
              </w:rPr>
              <w:t>6.烟花爆竹不应与其他商品或杂物混合存放。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  <w:szCs w:val="22"/>
              </w:rPr>
              <w:t>7.烟花爆竹存放应防水防潮。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项目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检查内容</w:t>
            </w:r>
          </w:p>
        </w:tc>
        <w:tc>
          <w:tcPr>
            <w:tcW w:w="3103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检查记录</w:t>
            </w:r>
          </w:p>
        </w:tc>
        <w:tc>
          <w:tcPr>
            <w:tcW w:w="915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Cs w:val="21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安全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管理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  <w:szCs w:val="22"/>
              </w:rPr>
              <w:t>1.烟花爆竹零售店、零售点的负责人应依法参加安全教育培训并经考核合格。其他从业人员应经过相关安全知识教育培训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</w:rPr>
              <w:t>2.应制定并张贴烟花爆竹零售经营安全责任制、安全管理制度和安全操作规程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</w:rPr>
              <w:t>3.安全责任制应包括负责人安全责任制和销售人员、看护人员安全责任制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</w:rPr>
              <w:t>4.</w:t>
            </w:r>
            <w:r>
              <w:rPr>
                <w:rFonts w:ascii="宋体" w:hAnsi="宋体" w:eastAsia="宋体"/>
              </w:rPr>
              <w:t>安全管理制度应</w:t>
            </w:r>
            <w:r>
              <w:rPr>
                <w:rFonts w:hint="eastAsia" w:ascii="宋体" w:hAnsi="宋体" w:eastAsia="宋体"/>
              </w:rPr>
              <w:t>包括现场管理、安全检查、隐患整改、事故报告等制度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ind w:firstLine="33" w:firstLineChars="16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</w:rPr>
              <w:t>5.安全操作规程应包括烟花爆竹的查验、拆箱、搬运、堆码等安全要求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</w:rPr>
              <w:t>6.从业人员应严格执行安全管理制度和安全操作规程，妥善保管购销票据、产品配送单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</w:rPr>
              <w:t>7.应制定并张贴现场应急处置措施，在适当的醒目位置张贴应急联系电话信息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934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/>
              </w:rPr>
              <w:t>8.应在醒目位置悬挂烟花爆竹零售经营者营业执照和烟花爆竹经营（零售）许可证</w:t>
            </w:r>
          </w:p>
        </w:tc>
        <w:tc>
          <w:tcPr>
            <w:tcW w:w="3103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填表说明：1、检查结论填写符合或不符合，在检查结论不符合时，应在检查记录载明不符合的信息，对于应用数据记载的应尽量记录数据，如面积与存放限量。</w:t>
      </w:r>
    </w:p>
    <w:p>
      <w:r>
        <w:rPr>
          <w:rFonts w:hint="eastAsia"/>
        </w:rPr>
        <w:t>2、在填写零售店检查记录时，涉及零售点的检查内容用“/”表示无此项；在填写零售点检查记录时，涉及零售店的检查内容用“/”表示无此项。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6E85"/>
    <w:rsid w:val="15B75320"/>
    <w:rsid w:val="2A383DE6"/>
    <w:rsid w:val="394538AA"/>
    <w:rsid w:val="3FAA26B9"/>
    <w:rsid w:val="5BA943EB"/>
    <w:rsid w:val="5F8774E6"/>
    <w:rsid w:val="75DB0119"/>
    <w:rsid w:val="7AC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章标题"/>
    <w:next w:val="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2021-11-20T01:55:00Z</dcterms:created>
  <dc:creator>lenovo</dc:creator>
  <cp:lastModifiedBy>搬个凳凳来听歌</cp:lastModifiedBy>
  <dcterms:modified xsi:type="dcterms:W3CDTF">2021-11-23T03:38:44Z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C3B26AE3E34740A69EC56CC2BB6ED395</vt:lpwstr>
  </property>
</Properties>
</file>