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9251">
      <w:pPr>
        <w:keepNext w:val="0"/>
        <w:keepLines w:val="0"/>
        <w:pageBreakBefore w:val="0"/>
        <w:widowControl w:val="0"/>
        <w:kinsoku/>
        <w:wordWrap/>
        <w:overflowPunct/>
        <w:topLinePunct w:val="0"/>
        <w:autoSpaceDE/>
        <w:autoSpaceDN/>
        <w:bidi w:val="0"/>
        <w:adjustRightIn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w:t>
      </w:r>
      <w:r>
        <w:rPr>
          <w:rFonts w:hint="eastAsia" w:ascii="方正小标宋简体" w:hAnsi="方正小标宋简体" w:eastAsia="方正小标宋简体" w:cs="方正小标宋简体"/>
          <w:color w:val="auto"/>
          <w:sz w:val="44"/>
          <w:szCs w:val="44"/>
          <w:lang w:eastAsia="zh-CN"/>
        </w:rPr>
        <w:t>钢城</w:t>
      </w:r>
      <w:r>
        <w:rPr>
          <w:rFonts w:hint="eastAsia" w:ascii="方正小标宋简体" w:hAnsi="方正小标宋简体" w:eastAsia="方正小标宋简体" w:cs="方正小标宋简体"/>
          <w:color w:val="auto"/>
          <w:sz w:val="44"/>
          <w:szCs w:val="44"/>
        </w:rPr>
        <w:t>区行政审批服务局</w:t>
      </w:r>
    </w:p>
    <w:p w14:paraId="473ADF66">
      <w:pPr>
        <w:keepNext w:val="0"/>
        <w:keepLines w:val="0"/>
        <w:pageBreakBefore w:val="0"/>
        <w:widowControl w:val="0"/>
        <w:kinsoku/>
        <w:wordWrap/>
        <w:overflowPunct/>
        <w:topLinePunct w:val="0"/>
        <w:autoSpaceDE/>
        <w:autoSpaceDN/>
        <w:bidi w:val="0"/>
        <w:adjustRightIn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撤销</w:t>
      </w:r>
      <w:r>
        <w:rPr>
          <w:rFonts w:hint="eastAsia" w:ascii="方正小标宋简体" w:hAnsi="方正小标宋简体" w:eastAsia="方正小标宋简体" w:cs="方正小标宋简体"/>
          <w:color w:val="auto"/>
          <w:sz w:val="44"/>
          <w:szCs w:val="44"/>
          <w:lang w:val="en-US" w:eastAsia="zh-CN"/>
        </w:rPr>
        <w:t>变更</w:t>
      </w:r>
      <w:r>
        <w:rPr>
          <w:rFonts w:hint="eastAsia" w:ascii="方正小标宋简体" w:hAnsi="方正小标宋简体" w:eastAsia="方正小标宋简体" w:cs="方正小标宋简体"/>
          <w:color w:val="auto"/>
          <w:sz w:val="44"/>
          <w:szCs w:val="44"/>
        </w:rPr>
        <w:t>登记听证告知书</w:t>
      </w:r>
    </w:p>
    <w:p w14:paraId="3FDC03CD">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baseline"/>
        <w:rPr>
          <w:rFonts w:hint="eastAsia" w:ascii="楷体_GB2312" w:hAnsi="仿宋" w:eastAsia="楷体_GB2312"/>
          <w:color w:val="auto"/>
          <w:kern w:val="0"/>
          <w:sz w:val="32"/>
          <w:szCs w:val="32"/>
        </w:rPr>
      </w:pPr>
    </w:p>
    <w:p w14:paraId="557FCD06">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baseline"/>
        <w:rPr>
          <w:rFonts w:hint="eastAsia" w:ascii="楷体_GB2312" w:hAnsi="仿宋" w:eastAsia="楷体_GB2312"/>
          <w:color w:val="auto"/>
          <w:kern w:val="0"/>
          <w:sz w:val="32"/>
          <w:szCs w:val="32"/>
        </w:rPr>
      </w:pPr>
      <w:r>
        <w:rPr>
          <w:rFonts w:hint="eastAsia" w:ascii="楷体_GB2312" w:hAnsi="仿宋" w:eastAsia="楷体_GB2312"/>
          <w:color w:val="auto"/>
          <w:kern w:val="0"/>
          <w:sz w:val="32"/>
          <w:szCs w:val="32"/>
        </w:rPr>
        <w:t>济</w:t>
      </w:r>
      <w:r>
        <w:rPr>
          <w:rFonts w:hint="eastAsia" w:ascii="楷体_GB2312" w:hAnsi="仿宋" w:eastAsia="楷体_GB2312"/>
          <w:color w:val="auto"/>
          <w:kern w:val="0"/>
          <w:sz w:val="32"/>
          <w:szCs w:val="32"/>
          <w:lang w:eastAsia="zh-CN"/>
        </w:rPr>
        <w:t>钢城</w:t>
      </w:r>
      <w:r>
        <w:rPr>
          <w:rFonts w:hint="eastAsia" w:ascii="楷体_GB2312" w:hAnsi="仿宋" w:eastAsia="楷体_GB2312"/>
          <w:color w:val="auto"/>
          <w:kern w:val="0"/>
          <w:sz w:val="32"/>
          <w:szCs w:val="32"/>
        </w:rPr>
        <w:t>行审撤听告字〔20</w:t>
      </w:r>
      <w:r>
        <w:rPr>
          <w:rFonts w:hint="eastAsia" w:ascii="楷体_GB2312" w:hAnsi="仿宋" w:eastAsia="楷体_GB2312"/>
          <w:color w:val="auto"/>
          <w:kern w:val="0"/>
          <w:sz w:val="32"/>
          <w:szCs w:val="32"/>
          <w:lang w:val="en-US" w:eastAsia="zh-CN"/>
        </w:rPr>
        <w:t>25</w:t>
      </w:r>
      <w:r>
        <w:rPr>
          <w:rFonts w:hint="eastAsia" w:ascii="楷体_GB2312" w:hAnsi="仿宋" w:eastAsia="楷体_GB2312"/>
          <w:color w:val="auto"/>
          <w:kern w:val="0"/>
          <w:sz w:val="32"/>
          <w:szCs w:val="32"/>
        </w:rPr>
        <w:t>〕第</w:t>
      </w:r>
      <w:r>
        <w:rPr>
          <w:rFonts w:hint="eastAsia" w:ascii="楷体_GB2312" w:hAnsi="仿宋" w:eastAsia="楷体_GB2312"/>
          <w:color w:val="auto"/>
          <w:kern w:val="0"/>
          <w:sz w:val="32"/>
          <w:szCs w:val="32"/>
          <w:lang w:val="en-US" w:eastAsia="zh-CN"/>
        </w:rPr>
        <w:t>2</w:t>
      </w:r>
      <w:r>
        <w:rPr>
          <w:rFonts w:hint="eastAsia" w:ascii="楷体_GB2312" w:hAnsi="仿宋" w:eastAsia="楷体_GB2312"/>
          <w:color w:val="auto"/>
          <w:kern w:val="0"/>
          <w:sz w:val="32"/>
          <w:szCs w:val="32"/>
        </w:rPr>
        <w:t>号</w:t>
      </w:r>
    </w:p>
    <w:p w14:paraId="20F48DF2">
      <w:pPr>
        <w:tabs>
          <w:tab w:val="left" w:pos="1348"/>
        </w:tabs>
        <w:snapToGrid w:val="0"/>
        <w:spacing w:line="360" w:lineRule="exact"/>
        <w:ind w:right="640"/>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lang w:eastAsia="zh-CN"/>
        </w:rPr>
        <w:tab/>
      </w:r>
    </w:p>
    <w:p w14:paraId="0A087918">
      <w:pPr>
        <w:keepNext w:val="0"/>
        <w:keepLines w:val="0"/>
        <w:pageBreakBefore w:val="0"/>
        <w:widowControl w:val="0"/>
        <w:kinsoku/>
        <w:wordWrap/>
        <w:overflowPunct/>
        <w:topLinePunct w:val="0"/>
        <w:autoSpaceDE/>
        <w:autoSpaceDN/>
        <w:bidi w:val="0"/>
        <w:adjustRightInd w:val="0"/>
        <w:snapToGrid w:val="0"/>
        <w:spacing w:line="520" w:lineRule="exact"/>
        <w:ind w:right="640"/>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282575</wp:posOffset>
                </wp:positionV>
                <wp:extent cx="635" cy="0"/>
                <wp:effectExtent l="0" t="4445" r="0" b="508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25pt;height:0pt;width:0.05pt;z-index:251659264;mso-width-relative:page;mso-height-relative:page;" filled="f" stroked="t" coordsize="21600,21600" o:gfxdata="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Pk4W0QAAAAMBAAAPAAAA&#10;AAAAAAEAIAAAACIAAABkcnMvZG93bnJldi54bWxQSwECFAAUAAAACACHTuJAIC6b0eMBAADXAwAA&#10;DgAAAAAAAAABACAAAAAg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b/>
          <w:sz w:val="32"/>
          <w:szCs w:val="32"/>
          <w:lang w:eastAsia="zh-CN"/>
        </w:rPr>
        <w:t>山东汉威商贸有限公司</w:t>
      </w:r>
      <w:r>
        <w:rPr>
          <w:rFonts w:hint="eastAsia" w:ascii="仿宋_GB2312" w:hAnsi="仿宋_GB2312" w:eastAsia="仿宋_GB2312" w:cs="仿宋_GB2312"/>
          <w:b/>
          <w:sz w:val="32"/>
          <w:szCs w:val="32"/>
        </w:rPr>
        <w:t>及利害关系人：</w:t>
      </w:r>
    </w:p>
    <w:p w14:paraId="1A02DCD3">
      <w:pPr>
        <w:keepNext w:val="0"/>
        <w:keepLines w:val="0"/>
        <w:pageBreakBefore w:val="0"/>
        <w:widowControl w:val="0"/>
        <w:kinsoku/>
        <w:wordWrap/>
        <w:overflowPunct/>
        <w:topLinePunct w:val="0"/>
        <w:autoSpaceDE/>
        <w:autoSpaceDN/>
        <w:bidi w:val="0"/>
        <w:adjustRightInd w:val="0"/>
        <w:snapToGrid/>
        <w:spacing w:line="520" w:lineRule="exact"/>
        <w:ind w:right="-144" w:rightChars="-6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shd w:val="clear"/>
        </w:rPr>
        <w:t>济南市</w:t>
      </w:r>
      <w:r>
        <w:rPr>
          <w:rFonts w:hint="eastAsia" w:ascii="仿宋_GB2312" w:hAnsi="仿宋_GB2312" w:eastAsia="仿宋_GB2312" w:cs="仿宋_GB2312"/>
          <w:sz w:val="32"/>
          <w:szCs w:val="32"/>
          <w:shd w:val="clear"/>
          <w:lang w:val="en-US" w:eastAsia="zh-CN"/>
        </w:rPr>
        <w:t>钢城</w:t>
      </w:r>
      <w:r>
        <w:rPr>
          <w:rFonts w:hint="eastAsia" w:ascii="仿宋_GB2312" w:hAnsi="仿宋_GB2312" w:eastAsia="仿宋_GB2312" w:cs="仿宋_GB2312"/>
          <w:sz w:val="32"/>
          <w:szCs w:val="32"/>
          <w:shd w:val="clear"/>
        </w:rPr>
        <w:t>区</w:t>
      </w:r>
      <w:r>
        <w:rPr>
          <w:rFonts w:hint="eastAsia" w:ascii="仿宋_GB2312" w:hAnsi="仿宋_GB2312" w:eastAsia="仿宋_GB2312" w:cs="仿宋_GB2312"/>
          <w:sz w:val="32"/>
          <w:szCs w:val="32"/>
          <w:shd w:val="clear"/>
          <w:lang w:eastAsia="zh-CN"/>
        </w:rPr>
        <w:t>市场监督管理局</w:t>
      </w:r>
      <w:r>
        <w:rPr>
          <w:rFonts w:hint="eastAsia" w:ascii="仿宋_GB2312" w:hAnsi="仿宋_GB2312" w:eastAsia="仿宋_GB2312" w:cs="仿宋_GB2312"/>
          <w:sz w:val="32"/>
          <w:szCs w:val="32"/>
          <w:shd w:val="clear"/>
        </w:rPr>
        <w:t>受理的</w:t>
      </w:r>
      <w:r>
        <w:rPr>
          <w:rFonts w:hint="eastAsia" w:ascii="仿宋_GB2312" w:hAnsi="仿宋_GB2312" w:eastAsia="仿宋_GB2312" w:cs="仿宋_GB2312"/>
          <w:sz w:val="32"/>
          <w:szCs w:val="32"/>
          <w:lang w:val="en-US" w:eastAsia="zh-CN"/>
        </w:rPr>
        <w:t>山东汉威商贸有限公司</w:t>
      </w:r>
      <w:r>
        <w:rPr>
          <w:rFonts w:hint="eastAsia" w:ascii="仿宋_GB2312" w:hAnsi="仿宋_GB2312" w:eastAsia="仿宋_GB2312" w:cs="仿宋_GB2312"/>
          <w:sz w:val="32"/>
          <w:szCs w:val="32"/>
        </w:rPr>
        <w:t>涉嫌冒用他人身份信息取得</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登记一案，已经调查终结。现将本局拟作出行政</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的事实、理由及依据告知如下：</w:t>
      </w:r>
    </w:p>
    <w:p w14:paraId="7F07CFBB">
      <w:pPr>
        <w:keepNext w:val="0"/>
        <w:keepLines w:val="0"/>
        <w:pageBreakBefore w:val="0"/>
        <w:widowControl w:val="0"/>
        <w:kinsoku/>
        <w:wordWrap/>
        <w:overflowPunct/>
        <w:topLinePunct w:val="0"/>
        <w:autoSpaceDE/>
        <w:autoSpaceDN/>
        <w:bidi w:val="0"/>
        <w:adjustRightInd w:val="0"/>
        <w:snapToGrid/>
        <w:spacing w:line="520" w:lineRule="exact"/>
        <w:ind w:right="-144" w:rightChars="-6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经查：被许可人</w:t>
      </w:r>
      <w:r>
        <w:rPr>
          <w:rFonts w:hint="eastAsia" w:ascii="仿宋_GB2312" w:hAnsi="仿宋_GB2312" w:eastAsia="仿宋_GB2312" w:cs="仿宋_GB2312"/>
          <w:sz w:val="32"/>
          <w:szCs w:val="32"/>
          <w:lang w:val="en-US" w:eastAsia="zh-CN"/>
        </w:rPr>
        <w:t>山东汉威商贸有限公司</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shd w:val="clear"/>
          <w:lang w:val="en-US" w:eastAsia="zh-CN"/>
        </w:rPr>
        <w:t>2017</w:t>
      </w:r>
      <w:r>
        <w:rPr>
          <w:rFonts w:hint="eastAsia" w:ascii="仿宋_GB2312" w:hAnsi="仿宋_GB2312" w:eastAsia="仿宋_GB2312" w:cs="仿宋_GB2312"/>
          <w:sz w:val="32"/>
          <w:szCs w:val="32"/>
          <w:shd w:val="clear"/>
        </w:rPr>
        <w:t>年</w:t>
      </w:r>
      <w:r>
        <w:rPr>
          <w:rFonts w:hint="eastAsia" w:ascii="仿宋_GB2312" w:hAnsi="仿宋_GB2312" w:eastAsia="仿宋_GB2312" w:cs="仿宋_GB2312"/>
          <w:sz w:val="32"/>
          <w:szCs w:val="32"/>
          <w:shd w:val="clear"/>
          <w:lang w:val="en-US" w:eastAsia="zh-CN"/>
        </w:rPr>
        <w:t>12</w:t>
      </w:r>
      <w:r>
        <w:rPr>
          <w:rFonts w:hint="eastAsia" w:ascii="仿宋_GB2312" w:hAnsi="仿宋_GB2312" w:eastAsia="仿宋_GB2312" w:cs="仿宋_GB2312"/>
          <w:sz w:val="32"/>
          <w:szCs w:val="32"/>
          <w:shd w:val="clear"/>
        </w:rPr>
        <w:t>月</w:t>
      </w:r>
      <w:r>
        <w:rPr>
          <w:rFonts w:hint="eastAsia" w:ascii="仿宋_GB2312" w:hAnsi="仿宋_GB2312" w:eastAsia="仿宋_GB2312" w:cs="仿宋_GB2312"/>
          <w:sz w:val="32"/>
          <w:szCs w:val="32"/>
          <w:shd w:val="clear"/>
          <w:lang w:val="en-US" w:eastAsia="zh-CN"/>
        </w:rPr>
        <w:t>6</w:t>
      </w:r>
      <w:r>
        <w:rPr>
          <w:rFonts w:hint="eastAsia" w:ascii="仿宋_GB2312" w:hAnsi="仿宋_GB2312" w:eastAsia="仿宋_GB2312" w:cs="仿宋_GB2312"/>
          <w:sz w:val="32"/>
          <w:szCs w:val="32"/>
          <w:shd w:val="clear"/>
        </w:rPr>
        <w:t>日</w:t>
      </w:r>
      <w:r>
        <w:rPr>
          <w:rFonts w:hint="eastAsia" w:ascii="仿宋_GB2312" w:hAnsi="仿宋_GB2312" w:eastAsia="仿宋_GB2312" w:cs="仿宋_GB2312"/>
          <w:sz w:val="32"/>
          <w:szCs w:val="32"/>
        </w:rPr>
        <w:t>办理公司</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登记时，向登记机关提交</w:t>
      </w:r>
      <w:r>
        <w:rPr>
          <w:rFonts w:hint="eastAsia" w:ascii="仿宋_GB2312" w:hAnsi="仿宋_GB2312" w:eastAsia="仿宋_GB2312" w:cs="仿宋_GB2312"/>
          <w:sz w:val="32"/>
          <w:szCs w:val="32"/>
          <w:lang w:eastAsia="zh-CN"/>
        </w:rPr>
        <w:t>虚假登记</w:t>
      </w:r>
      <w:r>
        <w:rPr>
          <w:rFonts w:hint="eastAsia" w:ascii="仿宋_GB2312" w:hAnsi="仿宋_GB2312" w:eastAsia="仿宋_GB2312" w:cs="仿宋_GB2312"/>
          <w:sz w:val="32"/>
          <w:szCs w:val="32"/>
        </w:rPr>
        <w:t>材料，骗取公司</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登记，将</w:t>
      </w:r>
      <w:r>
        <w:rPr>
          <w:rFonts w:hint="eastAsia" w:ascii="仿宋_GB2312" w:hAnsi="仿宋_GB2312" w:eastAsia="仿宋_GB2312" w:cs="仿宋_GB2312"/>
          <w:sz w:val="32"/>
          <w:szCs w:val="32"/>
          <w:lang w:eastAsia="zh-CN"/>
        </w:rPr>
        <w:t>赵小宁</w:t>
      </w:r>
      <w:r>
        <w:rPr>
          <w:rFonts w:hint="eastAsia" w:ascii="仿宋_GB2312" w:hAnsi="仿宋_GB2312" w:eastAsia="仿宋_GB2312" w:cs="仿宋_GB2312"/>
          <w:sz w:val="32"/>
          <w:szCs w:val="32"/>
        </w:rPr>
        <w:t>登记为公司</w:t>
      </w:r>
      <w:r>
        <w:rPr>
          <w:rFonts w:hint="eastAsia" w:ascii="仿宋_GB2312" w:hAnsi="仿宋_GB2312" w:eastAsia="仿宋_GB2312" w:cs="仿宋_GB2312"/>
          <w:sz w:val="32"/>
          <w:szCs w:val="32"/>
          <w:lang w:val="en-US" w:eastAsia="zh-CN"/>
        </w:rPr>
        <w:t>股东、法定代表人、执行董事兼总经理</w:t>
      </w:r>
      <w:r>
        <w:rPr>
          <w:rFonts w:hint="eastAsia" w:ascii="仿宋_GB2312" w:hAnsi="仿宋_GB2312" w:eastAsia="仿宋_GB2312" w:cs="仿宋_GB2312"/>
          <w:sz w:val="32"/>
          <w:szCs w:val="32"/>
          <w:lang w:eastAsia="zh-CN"/>
        </w:rPr>
        <w:t>。赵小宁表示</w:t>
      </w:r>
      <w:r>
        <w:rPr>
          <w:rFonts w:hint="eastAsia" w:ascii="仿宋_GB2312" w:hAnsi="仿宋_GB2312" w:eastAsia="仿宋_GB2312" w:cs="仿宋_GB2312"/>
          <w:sz w:val="32"/>
          <w:szCs w:val="32"/>
        </w:rPr>
        <w:t>不知情，没有授权任何单位和个人办理公司</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登记，被许可人提交的是虚假材料，</w:t>
      </w:r>
      <w:bookmarkStart w:id="1" w:name="_GoBack"/>
      <w:bookmarkEnd w:id="1"/>
      <w:r>
        <w:rPr>
          <w:rFonts w:hint="eastAsia" w:ascii="仿宋_GB2312" w:hAnsi="仿宋_GB2312" w:eastAsia="仿宋_GB2312" w:cs="仿宋_GB2312"/>
          <w:sz w:val="32"/>
          <w:szCs w:val="32"/>
        </w:rPr>
        <w:t>隐瞒重要事实。被许可人采取欺诈手段隐瞒重要事实向公司登记机关提交虚假材料骗取公司</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登记的行为，违反了《中华人民共和国行政许可法》第三十一条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“申请人申请行政许可，应当如实向行政机关提交有关材料和反映真实情况，并对其申请材料实质内容的真实性负责”的规定。</w:t>
      </w:r>
    </w:p>
    <w:p w14:paraId="59FE3E83">
      <w:pPr>
        <w:keepNext w:val="0"/>
        <w:keepLines w:val="0"/>
        <w:pageBreakBefore w:val="0"/>
        <w:widowControl w:val="0"/>
        <w:kinsoku/>
        <w:wordWrap/>
        <w:overflowPunct/>
        <w:topLinePunct w:val="0"/>
        <w:autoSpaceDE/>
        <w:autoSpaceDN/>
        <w:bidi w:val="0"/>
        <w:adjustRightInd w:val="0"/>
        <w:snapToGrid/>
        <w:spacing w:line="520" w:lineRule="exact"/>
        <w:ind w:right="-144" w:rightChars="-60" w:firstLine="640" w:firstLineChars="200"/>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依据《中华人民共和国行政许可法》第六十九</w:t>
      </w:r>
      <w:r>
        <w:rPr>
          <w:rFonts w:hint="eastAsia" w:ascii="仿宋_GB2312" w:hAnsi="仿宋_GB2312" w:eastAsia="仿宋_GB2312" w:cs="仿宋_GB2312"/>
          <w:b w:val="0"/>
          <w:bCs/>
          <w:sz w:val="32"/>
          <w:szCs w:val="32"/>
          <w:lang w:val="en-US" w:eastAsia="zh-CN"/>
        </w:rPr>
        <w:t>条</w:t>
      </w:r>
      <w:r>
        <w:rPr>
          <w:rFonts w:hint="eastAsia" w:ascii="仿宋_GB2312" w:hAnsi="仿宋_GB2312" w:eastAsia="仿宋_GB2312" w:cs="仿宋_GB2312"/>
          <w:b w:val="0"/>
          <w:bCs/>
          <w:sz w:val="32"/>
          <w:szCs w:val="32"/>
        </w:rPr>
        <w:t>第二款“被许可人以欺骗、贿赂等不正当手段取得行政许可的，应当予以撤销”</w:t>
      </w:r>
      <w:r>
        <w:rPr>
          <w:rFonts w:hint="eastAsia" w:ascii="仿宋_GB2312" w:hAnsi="仿宋_GB2312" w:eastAsia="仿宋_GB2312" w:cs="仿宋_GB2312"/>
          <w:b w:val="0"/>
          <w:bCs/>
          <w:sz w:val="32"/>
          <w:szCs w:val="32"/>
          <w:lang w:eastAsia="zh-CN"/>
        </w:rPr>
        <w:t>《中华人民共和国市场主体登记管理条例》第四十条第二款“</w:t>
      </w:r>
      <w:r>
        <w:rPr>
          <w:rFonts w:hint="default" w:ascii="Arial" w:hAnsi="Arial" w:eastAsia="仿宋_GB2312" w:cs="Arial"/>
          <w:b w:val="0"/>
          <w:bCs/>
          <w:sz w:val="32"/>
          <w:szCs w:val="32"/>
          <w:lang w:eastAsia="zh-CN"/>
        </w:rPr>
        <w:t>……</w:t>
      </w:r>
      <w:r>
        <w:rPr>
          <w:rFonts w:hint="eastAsia" w:ascii="仿宋_GB2312" w:hAnsi="仿宋_GB2312" w:eastAsia="仿宋_GB2312" w:cs="仿宋_GB2312"/>
          <w:b w:val="0"/>
          <w:bCs/>
          <w:sz w:val="32"/>
          <w:szCs w:val="32"/>
          <w:lang w:eastAsia="zh-CN"/>
        </w:rPr>
        <w:t>经调查认定存在虚假市场主体登记情形的，登记机关应当撤销市场主体登记</w:t>
      </w:r>
      <w:r>
        <w:rPr>
          <w:rFonts w:hint="default" w:ascii="Arial" w:hAnsi="Arial" w:eastAsia="仿宋_GB2312" w:cs="Arial"/>
          <w:b w:val="0"/>
          <w:bCs/>
          <w:sz w:val="32"/>
          <w:szCs w:val="32"/>
          <w:lang w:eastAsia="zh-CN"/>
        </w:rPr>
        <w:t>……</w:t>
      </w:r>
      <w:r>
        <w:rPr>
          <w:rFonts w:hint="eastAsia" w:ascii="仿宋_GB2312" w:hAnsi="仿宋_GB2312" w:eastAsia="仿宋_GB2312" w:cs="仿宋_GB2312"/>
          <w:b w:val="0"/>
          <w:bCs/>
          <w:sz w:val="32"/>
          <w:szCs w:val="32"/>
          <w:lang w:eastAsia="zh-CN"/>
        </w:rPr>
        <w:t>”的规定，</w:t>
      </w:r>
      <w:r>
        <w:rPr>
          <w:rFonts w:hint="eastAsia" w:ascii="仿宋_GB2312" w:hAnsi="仿宋_GB2312" w:eastAsia="仿宋_GB2312" w:cs="仿宋_GB2312"/>
          <w:b w:val="0"/>
          <w:bCs/>
          <w:sz w:val="32"/>
          <w:szCs w:val="32"/>
        </w:rPr>
        <w:t>拟撤销被许可人“</w:t>
      </w:r>
      <w:r>
        <w:rPr>
          <w:rFonts w:hint="eastAsia" w:ascii="仿宋_GB2312" w:hAnsi="仿宋_GB2312" w:eastAsia="仿宋_GB2312" w:cs="仿宋_GB2312"/>
          <w:sz w:val="32"/>
          <w:szCs w:val="32"/>
          <w:lang w:val="en-US" w:eastAsia="zh-CN"/>
        </w:rPr>
        <w:t>山东汉威商贸有限公司</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2017年12月6日取得</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变更</w:t>
      </w:r>
      <w:r>
        <w:rPr>
          <w:rFonts w:hint="eastAsia" w:ascii="仿宋_GB2312" w:hAnsi="仿宋_GB2312" w:eastAsia="仿宋_GB2312" w:cs="仿宋_GB2312"/>
          <w:b w:val="0"/>
          <w:bCs/>
          <w:sz w:val="32"/>
          <w:szCs w:val="32"/>
          <w:lang w:eastAsia="zh-CN"/>
        </w:rPr>
        <w:t>登记事项</w:t>
      </w:r>
      <w:r>
        <w:rPr>
          <w:rFonts w:hint="eastAsia" w:ascii="仿宋_GB2312" w:hAnsi="仿宋_GB2312" w:eastAsia="仿宋_GB2312" w:cs="仿宋_GB2312"/>
          <w:b w:val="0"/>
          <w:bCs/>
          <w:sz w:val="32"/>
          <w:szCs w:val="32"/>
        </w:rPr>
        <w:t>。</w:t>
      </w:r>
    </w:p>
    <w:p w14:paraId="3A3FC4CF">
      <w:pPr>
        <w:keepNext w:val="0"/>
        <w:keepLines w:val="0"/>
        <w:pageBreakBefore w:val="0"/>
        <w:widowControl w:val="0"/>
        <w:kinsoku/>
        <w:wordWrap/>
        <w:overflowPunct/>
        <w:topLinePunct w:val="0"/>
        <w:autoSpaceDE/>
        <w:autoSpaceDN/>
        <w:bidi w:val="0"/>
        <w:adjustRightInd w:val="0"/>
        <w:snapToGrid/>
        <w:spacing w:line="520" w:lineRule="exact"/>
        <w:ind w:right="-144" w:rightChars="-60" w:firstLine="582" w:firstLineChars="182"/>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依</w:t>
      </w:r>
      <w:r>
        <w:rPr>
          <w:rFonts w:hint="eastAsia" w:ascii="仿宋_GB2312" w:hAnsi="仿宋_GB2312" w:eastAsia="仿宋_GB2312" w:cs="仿宋_GB2312"/>
          <w:b w:val="0"/>
          <w:bCs/>
          <w:sz w:val="32"/>
          <w:szCs w:val="32"/>
        </w:rPr>
        <w:t>据《中华人民共和国行政许可法》第四十七条、《山东省实施行政许可听证办法》第二十条的规定，</w: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282575</wp:posOffset>
                </wp:positionV>
                <wp:extent cx="635" cy="0"/>
                <wp:effectExtent l="0" t="4445" r="0" b="508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25pt;height:0pt;width:0.05pt;z-index:251660288;mso-width-relative:page;mso-height-relative:page;" filled="f" stroked="t" coordsize="21600,21600" o:gfxdata="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Pk4W0QAAAAMBAAAPAAAA&#10;AAAAAAEAIAAAACIAAABkcnMvZG93bnJldi54bWxQSwECFAAUAAAACACHTuJAZE7JnuMBAADXAwAA&#10;DgAAAAAAAAABACAAAAAg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山东汉威商贸有限公司</w:t>
      </w:r>
      <w:r>
        <w:rPr>
          <w:rFonts w:hint="eastAsia" w:ascii="仿宋_GB2312" w:hAnsi="仿宋_GB2312" w:eastAsia="仿宋_GB2312" w:cs="仿宋_GB2312"/>
          <w:b w:val="0"/>
          <w:bCs/>
          <w:sz w:val="32"/>
          <w:szCs w:val="32"/>
        </w:rPr>
        <w:t>及利害关系人对上述拟作出的行政处理决定，享有要求听证的权利。本局依法</w:t>
      </w:r>
      <w:r>
        <w:rPr>
          <w:rFonts w:hint="eastAsia" w:ascii="仿宋_GB2312" w:hAnsi="仿宋_GB2312" w:eastAsia="仿宋_GB2312" w:cs="仿宋_GB2312"/>
          <w:b w:val="0"/>
          <w:bCs/>
          <w:sz w:val="32"/>
          <w:szCs w:val="32"/>
          <w:lang w:eastAsia="zh-CN"/>
        </w:rPr>
        <w:t>公告</w:t>
      </w:r>
      <w:r>
        <w:rPr>
          <w:rFonts w:hint="eastAsia" w:ascii="仿宋_GB2312" w:hAnsi="仿宋_GB2312" w:eastAsia="仿宋_GB2312" w:cs="仿宋_GB2312"/>
          <w:b w:val="0"/>
          <w:bCs/>
          <w:sz w:val="32"/>
          <w:szCs w:val="32"/>
        </w:rPr>
        <w:t>送达，如要求举行听证，应当自公告发布之日起20日内，提出书面申请，逾期不提出申请的，视为放弃听证权利。</w:t>
      </w:r>
    </w:p>
    <w:p w14:paraId="3B152EF8">
      <w:pPr>
        <w:keepNext w:val="0"/>
        <w:keepLines w:val="0"/>
        <w:pageBreakBefore w:val="0"/>
        <w:widowControl w:val="0"/>
        <w:kinsoku/>
        <w:wordWrap/>
        <w:overflowPunct/>
        <w:topLinePunct w:val="0"/>
        <w:autoSpaceDE/>
        <w:autoSpaceDN/>
        <w:bidi w:val="0"/>
        <w:adjustRightInd w:val="0"/>
        <w:snapToGrid/>
        <w:spacing w:line="520" w:lineRule="exact"/>
        <w:ind w:left="0" w:leftChars="0" w:firstLine="720" w:firstLineChars="225"/>
        <w:jc w:val="both"/>
        <w:textAlignment w:val="baseline"/>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lang w:val="en-US" w:eastAsia="zh-CN"/>
        </w:rPr>
        <w:t>0531-77912779  0531-76892180</w:t>
      </w:r>
    </w:p>
    <w:p w14:paraId="0E651F2B">
      <w:pPr>
        <w:keepNext w:val="0"/>
        <w:keepLines w:val="0"/>
        <w:pageBreakBefore w:val="0"/>
        <w:widowControl w:val="0"/>
        <w:kinsoku/>
        <w:wordWrap/>
        <w:overflowPunct/>
        <w:topLinePunct w:val="0"/>
        <w:autoSpaceDE/>
        <w:autoSpaceDN/>
        <w:bidi w:val="0"/>
        <w:adjustRightInd w:val="0"/>
        <w:snapToGrid/>
        <w:spacing w:line="520" w:lineRule="exact"/>
        <w:ind w:left="0" w:leftChars="0" w:firstLine="720" w:firstLineChars="225"/>
        <w:jc w:val="both"/>
        <w:textAlignment w:val="baseline"/>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邮寄地址：济南市钢城区府前大街29号政务服务大厅一楼商事登记组</w:t>
      </w:r>
    </w:p>
    <w:p w14:paraId="34711FEE">
      <w:pPr>
        <w:keepNext w:val="0"/>
        <w:keepLines w:val="0"/>
        <w:pageBreakBefore w:val="0"/>
        <w:widowControl w:val="0"/>
        <w:kinsoku/>
        <w:wordWrap/>
        <w:overflowPunct/>
        <w:topLinePunct w:val="0"/>
        <w:autoSpaceDE/>
        <w:autoSpaceDN/>
        <w:bidi w:val="0"/>
        <w:adjustRightInd w:val="0"/>
        <w:snapToGrid/>
        <w:spacing w:line="520" w:lineRule="exact"/>
        <w:ind w:firstLine="4498" w:firstLineChars="1400"/>
        <w:jc w:val="both"/>
        <w:textAlignment w:val="baseline"/>
        <w:rPr>
          <w:rFonts w:hint="eastAsia" w:ascii="仿宋_GB2312" w:hAnsi="仿宋_GB2312" w:eastAsia="仿宋_GB2312" w:cs="仿宋_GB2312"/>
          <w:b/>
          <w:sz w:val="32"/>
          <w:szCs w:val="32"/>
        </w:rPr>
      </w:pPr>
    </w:p>
    <w:p w14:paraId="697E6767">
      <w:pPr>
        <w:keepNext w:val="0"/>
        <w:keepLines w:val="0"/>
        <w:pageBreakBefore w:val="0"/>
        <w:widowControl w:val="0"/>
        <w:kinsoku/>
        <w:wordWrap/>
        <w:overflowPunct/>
        <w:topLinePunct w:val="0"/>
        <w:autoSpaceDE/>
        <w:autoSpaceDN/>
        <w:bidi w:val="0"/>
        <w:adjustRightInd w:val="0"/>
        <w:snapToGrid/>
        <w:spacing w:line="520" w:lineRule="exact"/>
        <w:ind w:firstLine="4498" w:firstLineChars="1400"/>
        <w:jc w:val="both"/>
        <w:textAlignment w:val="baseline"/>
        <w:rPr>
          <w:rFonts w:hint="eastAsia" w:ascii="仿宋_GB2312" w:hAnsi="仿宋_GB2312" w:eastAsia="仿宋_GB2312" w:cs="仿宋_GB2312"/>
          <w:b/>
          <w:sz w:val="32"/>
          <w:szCs w:val="32"/>
        </w:rPr>
      </w:pPr>
    </w:p>
    <w:p w14:paraId="78A3D595">
      <w:pPr>
        <w:keepNext w:val="0"/>
        <w:keepLines w:val="0"/>
        <w:pageBreakBefore w:val="0"/>
        <w:widowControl w:val="0"/>
        <w:kinsoku/>
        <w:wordWrap/>
        <w:overflowPunct/>
        <w:topLinePunct w:val="0"/>
        <w:autoSpaceDE/>
        <w:autoSpaceDN/>
        <w:bidi w:val="0"/>
        <w:adjustRightInd w:val="0"/>
        <w:snapToGrid/>
        <w:spacing w:line="640" w:lineRule="exact"/>
        <w:ind w:firstLine="4480" w:firstLineChars="14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济南市</w:t>
      </w:r>
      <w:r>
        <w:rPr>
          <w:rFonts w:hint="eastAsia" w:ascii="仿宋_GB2312" w:hAnsi="仿宋_GB2312" w:eastAsia="仿宋_GB2312" w:cs="仿宋_GB2312"/>
          <w:b w:val="0"/>
          <w:bCs/>
          <w:sz w:val="32"/>
          <w:szCs w:val="32"/>
          <w:lang w:eastAsia="zh-CN"/>
        </w:rPr>
        <w:t>钢城</w:t>
      </w:r>
      <w:r>
        <w:rPr>
          <w:rFonts w:hint="eastAsia" w:ascii="仿宋_GB2312" w:hAnsi="仿宋_GB2312" w:eastAsia="仿宋_GB2312" w:cs="仿宋_GB2312"/>
          <w:b w:val="0"/>
          <w:bCs/>
          <w:sz w:val="32"/>
          <w:szCs w:val="32"/>
        </w:rPr>
        <w:t xml:space="preserve">区行政审批服务局 </w:t>
      </w:r>
      <w:bookmarkStart w:id="0" w:name="yearnum_DangQianRiQi"/>
      <w:bookmarkEnd w:id="0"/>
    </w:p>
    <w:p w14:paraId="5004C6D1">
      <w:pPr>
        <w:keepNext w:val="0"/>
        <w:keepLines w:val="0"/>
        <w:pageBreakBefore w:val="0"/>
        <w:widowControl w:val="0"/>
        <w:kinsoku/>
        <w:wordWrap/>
        <w:overflowPunct/>
        <w:topLinePunct w:val="0"/>
        <w:autoSpaceDE/>
        <w:autoSpaceDN/>
        <w:bidi w:val="0"/>
        <w:adjustRightInd w:val="0"/>
        <w:snapToGrid/>
        <w:spacing w:line="640" w:lineRule="exact"/>
        <w:ind w:firstLine="5440" w:firstLineChars="17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p>
    <w:sectPr>
      <w:footerReference r:id="rId5" w:type="default"/>
      <w:pgSz w:w="11906" w:h="16838"/>
      <w:pgMar w:top="1417" w:right="1418" w:bottom="1417" w:left="1418"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BBAD">
    <w:pPr>
      <w:pStyle w:val="2"/>
      <w:rPr>
        <w:sz w:val="24"/>
        <w:szCs w:val="24"/>
        <w:u w:val="single"/>
      </w:rPr>
    </w:pPr>
    <w:r>
      <w:rPr>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53340</wp:posOffset>
              </wp:positionV>
              <wp:extent cx="5258435" cy="635"/>
              <wp:effectExtent l="0" t="0" r="0" b="0"/>
              <wp:wrapNone/>
              <wp:docPr id="3" name="直线 1"/>
              <wp:cNvGraphicFramePr/>
              <a:graphic xmlns:a="http://schemas.openxmlformats.org/drawingml/2006/main">
                <a:graphicData uri="http://schemas.microsoft.com/office/word/2010/wordprocessingShape">
                  <wps:wsp>
                    <wps:cNvCnPr/>
                    <wps:spPr>
                      <a:xfrm>
                        <a:off x="0" y="0"/>
                        <a:ext cx="5258435" cy="635"/>
                      </a:xfrm>
                      <a:prstGeom prst="line">
                        <a:avLst/>
                      </a:prstGeom>
                      <a:ln>
                        <a:noFill/>
                      </a:ln>
                    </wps:spPr>
                    <wps:bodyPr upright="1"/>
                  </wps:wsp>
                </a:graphicData>
              </a:graphic>
            </wp:anchor>
          </w:drawing>
        </mc:Choice>
        <mc:Fallback>
          <w:pict>
            <v:line id="直线 1" o:spid="_x0000_s1026" o:spt="20" style="position:absolute;left:0pt;margin-left:0pt;margin-top:4.2pt;height:0.05pt;width:414.05pt;z-index:251659264;mso-width-relative:page;mso-height-relative:page;" filled="f" stroked="f" coordsize="21600,21600" o:allowincell="f" o:gfxdata="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0bkVTVAAAABAEAAA8AAAAAAAAAAQAgAAAAIgAAAGRy&#10;cy9kb3ducmV2LnhtbFBLAQIUABQAAAAIAIdO4kD4PuQMlgEAACgDAAAOAAAAAAAAAAEAIAAAACQB&#10;AABkcnMvZTJvRG9jLnhtbFBLBQYAAAAABgAGAFkBAAAsBQAAAAA=&#10;">
              <v:fill on="f" focussize="0,0"/>
              <v:stroke on="f"/>
              <v:imagedata o:title=""/>
              <o:lock v:ext="edit" aspectratio="f"/>
            </v:line>
          </w:pict>
        </mc:Fallback>
      </mc:AlternateContent>
    </w:r>
  </w:p>
  <w:p w14:paraId="7A54F2F4">
    <w:pPr>
      <w:pStyle w:val="2"/>
      <w:jc w:val="center"/>
      <w:rPr>
        <w:rFonts w:hint="eastAsia" w:eastAsiaTheme="minorEastAsia"/>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TRiYmViOTdkYmNjYjI5MjY4OTA0MzEzZTk5YzgifQ=="/>
  </w:docVars>
  <w:rsids>
    <w:rsidRoot w:val="00E5645C"/>
    <w:rsid w:val="00002D58"/>
    <w:rsid w:val="00027F81"/>
    <w:rsid w:val="00030706"/>
    <w:rsid w:val="00084EDE"/>
    <w:rsid w:val="00087284"/>
    <w:rsid w:val="000A2A6D"/>
    <w:rsid w:val="000E04FF"/>
    <w:rsid w:val="00102293"/>
    <w:rsid w:val="00103EE7"/>
    <w:rsid w:val="00135BF0"/>
    <w:rsid w:val="00141A03"/>
    <w:rsid w:val="0017115D"/>
    <w:rsid w:val="00187415"/>
    <w:rsid w:val="00196EF5"/>
    <w:rsid w:val="001A2BAD"/>
    <w:rsid w:val="001B29F6"/>
    <w:rsid w:val="001C00C9"/>
    <w:rsid w:val="001C5729"/>
    <w:rsid w:val="001C65AE"/>
    <w:rsid w:val="001F1CE5"/>
    <w:rsid w:val="00210C9D"/>
    <w:rsid w:val="00241036"/>
    <w:rsid w:val="002425FF"/>
    <w:rsid w:val="00244FB6"/>
    <w:rsid w:val="0024744A"/>
    <w:rsid w:val="00250F8F"/>
    <w:rsid w:val="002946AE"/>
    <w:rsid w:val="002B5FD0"/>
    <w:rsid w:val="002D2FA2"/>
    <w:rsid w:val="002F3980"/>
    <w:rsid w:val="003000F7"/>
    <w:rsid w:val="003055FD"/>
    <w:rsid w:val="00360788"/>
    <w:rsid w:val="0037328F"/>
    <w:rsid w:val="00382450"/>
    <w:rsid w:val="003B1A4F"/>
    <w:rsid w:val="003B4F49"/>
    <w:rsid w:val="003B7E4A"/>
    <w:rsid w:val="003E03B0"/>
    <w:rsid w:val="003F3D4A"/>
    <w:rsid w:val="0041378E"/>
    <w:rsid w:val="00414766"/>
    <w:rsid w:val="00423C95"/>
    <w:rsid w:val="00467732"/>
    <w:rsid w:val="004735A4"/>
    <w:rsid w:val="00486780"/>
    <w:rsid w:val="0050700B"/>
    <w:rsid w:val="00597017"/>
    <w:rsid w:val="0059778B"/>
    <w:rsid w:val="005B448D"/>
    <w:rsid w:val="005B568F"/>
    <w:rsid w:val="005E1C6F"/>
    <w:rsid w:val="00673939"/>
    <w:rsid w:val="006904F7"/>
    <w:rsid w:val="006945A8"/>
    <w:rsid w:val="006B597B"/>
    <w:rsid w:val="006C45FD"/>
    <w:rsid w:val="00713678"/>
    <w:rsid w:val="007452C0"/>
    <w:rsid w:val="00753094"/>
    <w:rsid w:val="007678F4"/>
    <w:rsid w:val="007704F7"/>
    <w:rsid w:val="007B6860"/>
    <w:rsid w:val="007C7556"/>
    <w:rsid w:val="007D37DF"/>
    <w:rsid w:val="007F098E"/>
    <w:rsid w:val="007F606D"/>
    <w:rsid w:val="00810209"/>
    <w:rsid w:val="00820889"/>
    <w:rsid w:val="0086131F"/>
    <w:rsid w:val="00896379"/>
    <w:rsid w:val="008C0AAA"/>
    <w:rsid w:val="008F230F"/>
    <w:rsid w:val="009333C0"/>
    <w:rsid w:val="00963D78"/>
    <w:rsid w:val="00973AE8"/>
    <w:rsid w:val="009A7C74"/>
    <w:rsid w:val="009B7A80"/>
    <w:rsid w:val="009C0C6F"/>
    <w:rsid w:val="009C41AA"/>
    <w:rsid w:val="009C576C"/>
    <w:rsid w:val="00A3341D"/>
    <w:rsid w:val="00A343EF"/>
    <w:rsid w:val="00A50DBB"/>
    <w:rsid w:val="00A66A8A"/>
    <w:rsid w:val="00A703AB"/>
    <w:rsid w:val="00A85CA6"/>
    <w:rsid w:val="00A97E38"/>
    <w:rsid w:val="00AA6902"/>
    <w:rsid w:val="00AC3D35"/>
    <w:rsid w:val="00AC77CF"/>
    <w:rsid w:val="00AF4DB5"/>
    <w:rsid w:val="00AF6520"/>
    <w:rsid w:val="00B201E5"/>
    <w:rsid w:val="00B254D5"/>
    <w:rsid w:val="00B409E5"/>
    <w:rsid w:val="00B41D03"/>
    <w:rsid w:val="00B81FA1"/>
    <w:rsid w:val="00BB2574"/>
    <w:rsid w:val="00BF69CE"/>
    <w:rsid w:val="00C34CC6"/>
    <w:rsid w:val="00C524C4"/>
    <w:rsid w:val="00C8118B"/>
    <w:rsid w:val="00C90074"/>
    <w:rsid w:val="00C96B54"/>
    <w:rsid w:val="00CA5B25"/>
    <w:rsid w:val="00CC4915"/>
    <w:rsid w:val="00D058CE"/>
    <w:rsid w:val="00D24287"/>
    <w:rsid w:val="00D76ED9"/>
    <w:rsid w:val="00D86E81"/>
    <w:rsid w:val="00D96910"/>
    <w:rsid w:val="00DF0EA0"/>
    <w:rsid w:val="00E37ACB"/>
    <w:rsid w:val="00E47B0C"/>
    <w:rsid w:val="00E5645C"/>
    <w:rsid w:val="00E57448"/>
    <w:rsid w:val="00E8502C"/>
    <w:rsid w:val="00EC760E"/>
    <w:rsid w:val="00EE425C"/>
    <w:rsid w:val="00F0664B"/>
    <w:rsid w:val="00F10108"/>
    <w:rsid w:val="00F13B53"/>
    <w:rsid w:val="00F247A0"/>
    <w:rsid w:val="00F46D5E"/>
    <w:rsid w:val="00F56225"/>
    <w:rsid w:val="00F75796"/>
    <w:rsid w:val="00FE38F2"/>
    <w:rsid w:val="00FE7F40"/>
    <w:rsid w:val="00FF7D6F"/>
    <w:rsid w:val="02717FFA"/>
    <w:rsid w:val="0A43706E"/>
    <w:rsid w:val="0DAD0977"/>
    <w:rsid w:val="0F3342F7"/>
    <w:rsid w:val="10B93AD7"/>
    <w:rsid w:val="15FD2FB9"/>
    <w:rsid w:val="1739327C"/>
    <w:rsid w:val="17C0311B"/>
    <w:rsid w:val="17D449E1"/>
    <w:rsid w:val="1A305FDD"/>
    <w:rsid w:val="1B09565B"/>
    <w:rsid w:val="1B337C4D"/>
    <w:rsid w:val="1F3C5CAC"/>
    <w:rsid w:val="1F734E6A"/>
    <w:rsid w:val="20BB2F53"/>
    <w:rsid w:val="21D5280D"/>
    <w:rsid w:val="22593DD2"/>
    <w:rsid w:val="22E55E26"/>
    <w:rsid w:val="2858552C"/>
    <w:rsid w:val="2D1A062A"/>
    <w:rsid w:val="33C820B3"/>
    <w:rsid w:val="33E606AF"/>
    <w:rsid w:val="34270BD4"/>
    <w:rsid w:val="361D4154"/>
    <w:rsid w:val="371F680E"/>
    <w:rsid w:val="378128E9"/>
    <w:rsid w:val="384E7EAB"/>
    <w:rsid w:val="38C84008"/>
    <w:rsid w:val="3B882E9E"/>
    <w:rsid w:val="3CF3317F"/>
    <w:rsid w:val="3DCE20C0"/>
    <w:rsid w:val="435117C9"/>
    <w:rsid w:val="473D2970"/>
    <w:rsid w:val="49BB5BEF"/>
    <w:rsid w:val="4D6716D9"/>
    <w:rsid w:val="53DA1367"/>
    <w:rsid w:val="56F444EE"/>
    <w:rsid w:val="5C9661F7"/>
    <w:rsid w:val="65355EFF"/>
    <w:rsid w:val="6A98456C"/>
    <w:rsid w:val="6DCC3677"/>
    <w:rsid w:val="6EC30B9A"/>
    <w:rsid w:val="71A17ED2"/>
    <w:rsid w:val="746A5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748</Words>
  <Characters>795</Characters>
  <Lines>5</Lines>
  <Paragraphs>1</Paragraphs>
  <TotalTime>56</TotalTime>
  <ScaleCrop>false</ScaleCrop>
  <LinksUpToDate>false</LinksUpToDate>
  <CharactersWithSpaces>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2020-10-13T08:17:00Z</dcterms:created>
  <dc:creator>lenovo</dc:creator>
  <cp:lastModifiedBy> </cp:lastModifiedBy>
  <cp:lastPrinted>2020-10-16T01:46:00Z</cp:lastPrinted>
  <dcterms:modified xsi:type="dcterms:W3CDTF">2025-06-10T07:18:42Z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4D2A6A7C5BB34539854EB8BFEF92B072_13</vt:lpwstr>
  </property>
  <property fmtid="{D5CDD505-2E9C-101B-9397-08002B2CF9AE}" pid="4" name="KSOTemplateDocerSaveRecord">
    <vt:lpwstr>eyJoZGlkIjoiNjkwMTRiYmViOTdkYmNjYjI5MjY4OTA0MzEzZTk5YzgiLCJ1c2VySWQiOiI0NjUwNjg2MTYifQ==</vt:lpwstr>
  </property>
</Properties>
</file>